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B1283" w14:textId="414CDA5D" w:rsidR="00DA7CCB" w:rsidRDefault="00DA7CCB" w:rsidP="0048063A">
      <w:pPr>
        <w:pStyle w:val="Header"/>
        <w:widowControl w:val="0"/>
        <w:tabs>
          <w:tab w:val="right" w:pos="9781"/>
        </w:tabs>
        <w:ind w:right="-58"/>
        <w:jc w:val="left"/>
        <w:rPr>
          <w:rFonts w:ascii="Arial" w:eastAsia="MS Mincho" w:hAnsi="Arial" w:cs="Arial"/>
          <w:b/>
          <w:bCs/>
          <w:sz w:val="28"/>
          <w:lang w:eastAsia="ja-JP"/>
        </w:rPr>
      </w:pPr>
      <w:r>
        <w:rPr>
          <w:rFonts w:ascii="Arial" w:hAnsi="Arial" w:cs="Arial"/>
          <w:b/>
          <w:bCs/>
          <w:sz w:val="28"/>
        </w:rPr>
        <w:t>3GPP TSG RAN WG1 Meeting #</w:t>
      </w:r>
      <w:r w:rsidR="00747231">
        <w:rPr>
          <w:rFonts w:ascii="Arial" w:hAnsi="Arial" w:cs="Arial"/>
          <w:b/>
          <w:bCs/>
          <w:sz w:val="28"/>
        </w:rPr>
        <w:t>8</w:t>
      </w:r>
      <w:r w:rsidR="0048063A">
        <w:rPr>
          <w:rFonts w:ascii="Arial" w:hAnsi="Arial" w:cs="Arial"/>
          <w:b/>
          <w:bCs/>
          <w:sz w:val="28"/>
        </w:rPr>
        <w:t>7</w:t>
      </w:r>
      <w:r w:rsidR="00B50DD2">
        <w:rPr>
          <w:rFonts w:ascii="Arial" w:hAnsi="Arial" w:cs="Arial"/>
          <w:b/>
          <w:bCs/>
          <w:sz w:val="28"/>
        </w:rPr>
        <w:t xml:space="preserve"> </w:t>
      </w:r>
      <w:r w:rsidR="0048063A">
        <w:rPr>
          <w:rFonts w:ascii="Arial" w:hAnsi="Arial" w:cs="Arial"/>
          <w:b/>
          <w:bCs/>
          <w:sz w:val="28"/>
        </w:rPr>
        <w:tab/>
      </w:r>
      <w:r w:rsidR="00B50DD2">
        <w:rPr>
          <w:rFonts w:ascii="Arial" w:hAnsi="Arial" w:cs="Arial"/>
          <w:b/>
          <w:bCs/>
          <w:sz w:val="28"/>
        </w:rPr>
        <w:tab/>
        <w:t>R1-16</w:t>
      </w:r>
      <w:r w:rsidR="001E1952">
        <w:rPr>
          <w:rFonts w:ascii="Arial" w:hAnsi="Arial" w:cs="Arial"/>
          <w:b/>
          <w:bCs/>
          <w:sz w:val="28"/>
        </w:rPr>
        <w:t>12028</w:t>
      </w:r>
    </w:p>
    <w:p w14:paraId="6A5200A2" w14:textId="32C35D42" w:rsidR="00DA7CCB" w:rsidRPr="00F5408F" w:rsidRDefault="00D837AF" w:rsidP="00BC3BC7">
      <w:pPr>
        <w:pStyle w:val="Header"/>
        <w:widowControl w:val="0"/>
        <w:tabs>
          <w:tab w:val="right" w:pos="9781"/>
        </w:tabs>
        <w:ind w:right="-58"/>
        <w:jc w:val="left"/>
        <w:rPr>
          <w:rFonts w:ascii="Arial" w:eastAsia="MS Mincho" w:hAnsi="Arial" w:cs="Arial"/>
          <w:b/>
          <w:bCs/>
          <w:sz w:val="28"/>
          <w:lang w:eastAsia="ja-JP"/>
        </w:rPr>
      </w:pPr>
      <w:r>
        <w:rPr>
          <w:rFonts w:ascii="Arial" w:eastAsia="MS Mincho" w:hAnsi="Arial" w:cs="Arial"/>
          <w:b/>
          <w:bCs/>
          <w:sz w:val="28"/>
          <w:lang w:eastAsia="ja-JP"/>
        </w:rPr>
        <w:t>Reno, NV</w:t>
      </w:r>
      <w:r w:rsidR="00B50DD2">
        <w:rPr>
          <w:rFonts w:ascii="Arial" w:eastAsia="MS Mincho" w:hAnsi="Arial" w:cs="Arial"/>
          <w:b/>
          <w:bCs/>
          <w:sz w:val="28"/>
          <w:lang w:eastAsia="ja-JP"/>
        </w:rPr>
        <w:t xml:space="preserve">, </w:t>
      </w:r>
      <w:r w:rsidR="0048063A">
        <w:rPr>
          <w:rFonts w:ascii="Arial" w:eastAsia="MS Mincho" w:hAnsi="Arial" w:cs="Arial"/>
          <w:b/>
          <w:bCs/>
          <w:sz w:val="28"/>
          <w:lang w:eastAsia="ja-JP"/>
        </w:rPr>
        <w:t>U</w:t>
      </w:r>
      <w:r>
        <w:rPr>
          <w:rFonts w:ascii="Arial" w:eastAsia="MS Mincho" w:hAnsi="Arial" w:cs="Arial"/>
          <w:b/>
          <w:bCs/>
          <w:sz w:val="28"/>
          <w:lang w:eastAsia="ja-JP"/>
        </w:rPr>
        <w:t>.</w:t>
      </w:r>
      <w:r w:rsidR="0048063A">
        <w:rPr>
          <w:rFonts w:ascii="Arial" w:eastAsia="MS Mincho" w:hAnsi="Arial" w:cs="Arial"/>
          <w:b/>
          <w:bCs/>
          <w:sz w:val="28"/>
          <w:lang w:eastAsia="ja-JP"/>
        </w:rPr>
        <w:t>S</w:t>
      </w:r>
      <w:r>
        <w:rPr>
          <w:rFonts w:ascii="Arial" w:eastAsia="MS Mincho" w:hAnsi="Arial" w:cs="Arial"/>
          <w:b/>
          <w:bCs/>
          <w:sz w:val="28"/>
          <w:lang w:eastAsia="ja-JP"/>
        </w:rPr>
        <w:t>.</w:t>
      </w:r>
      <w:r w:rsidR="0048063A">
        <w:rPr>
          <w:rFonts w:ascii="Arial" w:eastAsia="MS Mincho" w:hAnsi="Arial" w:cs="Arial"/>
          <w:b/>
          <w:bCs/>
          <w:sz w:val="28"/>
          <w:lang w:eastAsia="ja-JP"/>
        </w:rPr>
        <w:t>A</w:t>
      </w:r>
      <w:r>
        <w:rPr>
          <w:rFonts w:ascii="Arial" w:eastAsia="MS Mincho" w:hAnsi="Arial" w:cs="Arial"/>
          <w:b/>
          <w:bCs/>
          <w:sz w:val="28"/>
          <w:lang w:eastAsia="ja-JP"/>
        </w:rPr>
        <w:t>.</w:t>
      </w:r>
      <w:r w:rsidR="00B50DD2">
        <w:rPr>
          <w:rFonts w:ascii="Arial" w:eastAsia="MS Mincho" w:hAnsi="Arial" w:cs="Arial"/>
          <w:b/>
          <w:bCs/>
          <w:sz w:val="28"/>
          <w:lang w:eastAsia="ja-JP"/>
        </w:rPr>
        <w:t xml:space="preserve">, </w:t>
      </w:r>
      <w:r w:rsidR="0048063A">
        <w:rPr>
          <w:rFonts w:ascii="Arial" w:eastAsia="MS Mincho" w:hAnsi="Arial" w:cs="Arial"/>
          <w:b/>
          <w:bCs/>
          <w:sz w:val="28"/>
          <w:lang w:eastAsia="ja-JP"/>
        </w:rPr>
        <w:t>November</w:t>
      </w:r>
      <w:r w:rsidR="00B50DD2">
        <w:rPr>
          <w:rFonts w:ascii="Arial" w:eastAsia="MS Mincho" w:hAnsi="Arial" w:cs="Arial"/>
          <w:b/>
          <w:bCs/>
          <w:sz w:val="28"/>
          <w:lang w:eastAsia="ja-JP"/>
        </w:rPr>
        <w:t xml:space="preserve"> </w:t>
      </w:r>
      <w:r>
        <w:rPr>
          <w:rFonts w:ascii="Arial" w:eastAsia="MS Mincho" w:hAnsi="Arial" w:cs="Arial"/>
          <w:b/>
          <w:bCs/>
          <w:sz w:val="28"/>
          <w:lang w:eastAsia="ja-JP"/>
        </w:rPr>
        <w:t>14-18</w:t>
      </w:r>
      <w:r w:rsidR="00B50DD2">
        <w:rPr>
          <w:rFonts w:ascii="Arial" w:eastAsia="MS Mincho" w:hAnsi="Arial" w:cs="Arial"/>
          <w:b/>
          <w:bCs/>
          <w:sz w:val="28"/>
          <w:lang w:eastAsia="ja-JP"/>
        </w:rPr>
        <w:t xml:space="preserve">, 2016 </w:t>
      </w:r>
      <w:r w:rsidR="00DA7CCB">
        <w:rPr>
          <w:rFonts w:ascii="Arial" w:eastAsia="MS Mincho" w:hAnsi="Arial" w:cs="Arial" w:hint="eastAsia"/>
          <w:b/>
          <w:bCs/>
          <w:sz w:val="28"/>
          <w:lang w:eastAsia="ja-JP"/>
        </w:rPr>
        <w:tab/>
      </w:r>
      <w:r w:rsidR="00DA7CCB">
        <w:rPr>
          <w:rFonts w:ascii="Arial" w:eastAsia="MS Mincho" w:hAnsi="Arial" w:cs="Arial"/>
          <w:b/>
          <w:bCs/>
          <w:sz w:val="28"/>
          <w:lang w:eastAsia="ja-JP"/>
        </w:rPr>
        <w:t xml:space="preserve">                 </w:t>
      </w:r>
    </w:p>
    <w:p w14:paraId="66EF26E8" w14:textId="77777777" w:rsidR="00DA7CCB" w:rsidRDefault="00DA7CCB" w:rsidP="00DA7CCB">
      <w:pPr>
        <w:pStyle w:val="FootnoteText"/>
        <w:widowControl w:val="0"/>
      </w:pPr>
    </w:p>
    <w:p w14:paraId="7FB48D3C" w14:textId="77777777" w:rsidR="00DA7CCB" w:rsidRPr="008A0B7A" w:rsidRDefault="00DA7CCB" w:rsidP="00DA7CCB">
      <w:pPr>
        <w:pBdr>
          <w:top w:val="single" w:sz="4" w:space="1" w:color="auto"/>
        </w:pBdr>
        <w:spacing w:after="0"/>
        <w:jc w:val="left"/>
        <w:rPr>
          <w:b/>
          <w:kern w:val="2"/>
          <w:lang w:eastAsia="zh-CN"/>
        </w:rPr>
      </w:pPr>
    </w:p>
    <w:p w14:paraId="4C9B39C5" w14:textId="6E02F152" w:rsidR="00DA7CCB" w:rsidRPr="00842220" w:rsidRDefault="00DA7CCB" w:rsidP="0048063A">
      <w:pPr>
        <w:spacing w:after="60"/>
        <w:ind w:left="1555" w:hanging="1555"/>
        <w:jc w:val="left"/>
        <w:rPr>
          <w:b/>
          <w:kern w:val="2"/>
          <w:sz w:val="24"/>
          <w:lang w:eastAsia="zh-CN"/>
        </w:rPr>
      </w:pPr>
      <w:r w:rsidRPr="00842220">
        <w:rPr>
          <w:b/>
          <w:kern w:val="2"/>
          <w:sz w:val="24"/>
          <w:lang w:eastAsia="zh-CN"/>
        </w:rPr>
        <w:t>Agenda Item:</w:t>
      </w:r>
      <w:r w:rsidRPr="00842220">
        <w:rPr>
          <w:b/>
          <w:kern w:val="2"/>
          <w:sz w:val="24"/>
          <w:lang w:eastAsia="zh-CN"/>
        </w:rPr>
        <w:tab/>
      </w:r>
      <w:r w:rsidR="0048063A">
        <w:rPr>
          <w:b/>
          <w:kern w:val="2"/>
          <w:sz w:val="24"/>
          <w:lang w:eastAsia="zh-CN"/>
        </w:rPr>
        <w:t>7</w:t>
      </w:r>
      <w:r>
        <w:rPr>
          <w:b/>
          <w:kern w:val="2"/>
          <w:sz w:val="24"/>
          <w:lang w:eastAsia="zh-CN"/>
        </w:rPr>
        <w:t>.1.</w:t>
      </w:r>
      <w:r w:rsidR="0048063A">
        <w:rPr>
          <w:b/>
          <w:kern w:val="2"/>
          <w:sz w:val="24"/>
          <w:lang w:eastAsia="zh-CN"/>
        </w:rPr>
        <w:t>2</w:t>
      </w:r>
      <w:r>
        <w:rPr>
          <w:b/>
          <w:kern w:val="2"/>
          <w:sz w:val="24"/>
          <w:lang w:eastAsia="zh-CN"/>
        </w:rPr>
        <w:t>.</w:t>
      </w:r>
      <w:r w:rsidR="00E37B03">
        <w:rPr>
          <w:b/>
          <w:kern w:val="2"/>
          <w:sz w:val="24"/>
          <w:lang w:eastAsia="zh-CN"/>
        </w:rPr>
        <w:t>2</w:t>
      </w:r>
    </w:p>
    <w:p w14:paraId="7A0427E2" w14:textId="77777777" w:rsidR="00DA7CCB" w:rsidRPr="00842220" w:rsidRDefault="00DA7CCB" w:rsidP="00DA7CCB">
      <w:pPr>
        <w:spacing w:after="60"/>
        <w:ind w:left="1555" w:hanging="1555"/>
        <w:jc w:val="left"/>
        <w:rPr>
          <w:b/>
          <w:kern w:val="2"/>
          <w:sz w:val="24"/>
          <w:lang w:eastAsia="zh-CN"/>
        </w:rPr>
      </w:pPr>
      <w:r w:rsidRPr="00842220">
        <w:rPr>
          <w:b/>
          <w:kern w:val="2"/>
          <w:sz w:val="24"/>
          <w:lang w:eastAsia="zh-CN"/>
        </w:rPr>
        <w:t>Source:</w:t>
      </w:r>
      <w:r w:rsidRPr="00842220">
        <w:rPr>
          <w:b/>
          <w:kern w:val="2"/>
          <w:sz w:val="24"/>
          <w:lang w:eastAsia="zh-CN"/>
        </w:rPr>
        <w:tab/>
        <w:t>Qualcomm Incorporated</w:t>
      </w:r>
    </w:p>
    <w:p w14:paraId="0C7B09D5" w14:textId="0CD3FE49" w:rsidR="00DA7CCB" w:rsidRPr="00842220" w:rsidRDefault="00DA7CCB" w:rsidP="006079CF">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sidR="006079CF">
        <w:rPr>
          <w:b/>
          <w:kern w:val="2"/>
          <w:sz w:val="24"/>
          <w:lang w:eastAsia="zh-CN"/>
        </w:rPr>
        <w:t xml:space="preserve">Multi-beam </w:t>
      </w:r>
      <w:r w:rsidR="00E37B03">
        <w:rPr>
          <w:b/>
          <w:kern w:val="2"/>
          <w:sz w:val="24"/>
          <w:lang w:eastAsia="zh-CN"/>
        </w:rPr>
        <w:t>PBCH</w:t>
      </w:r>
      <w:r w:rsidR="006079CF">
        <w:rPr>
          <w:b/>
          <w:kern w:val="2"/>
          <w:sz w:val="24"/>
          <w:lang w:eastAsia="zh-CN"/>
        </w:rPr>
        <w:t xml:space="preserve"> design</w:t>
      </w:r>
    </w:p>
    <w:p w14:paraId="6734E640" w14:textId="77777777" w:rsidR="00DA7CCB" w:rsidRPr="00842220" w:rsidRDefault="00DA7CCB" w:rsidP="00DA7CCB">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p>
    <w:p w14:paraId="73721617" w14:textId="77777777" w:rsidR="00DA7CCB" w:rsidRPr="008A0B7A" w:rsidRDefault="00DA7CCB" w:rsidP="00DA7CCB">
      <w:pPr>
        <w:pBdr>
          <w:bottom w:val="single" w:sz="4" w:space="1" w:color="auto"/>
        </w:pBdr>
        <w:spacing w:after="0"/>
        <w:jc w:val="left"/>
        <w:rPr>
          <w:b/>
          <w:sz w:val="16"/>
          <w:szCs w:val="16"/>
        </w:rPr>
      </w:pPr>
    </w:p>
    <w:p w14:paraId="7AC65F52" w14:textId="77777777" w:rsidR="00DA7CCB" w:rsidRDefault="00DA7CCB" w:rsidP="00DA7CCB">
      <w:pPr>
        <w:pStyle w:val="Heading1"/>
        <w:keepNext w:val="0"/>
        <w:widowControl w:val="0"/>
        <w:tabs>
          <w:tab w:val="num" w:pos="432"/>
        </w:tabs>
        <w:autoSpaceDE/>
        <w:autoSpaceDN/>
        <w:adjustRightInd/>
        <w:snapToGrid/>
        <w:spacing w:before="360" w:after="60"/>
        <w:jc w:val="left"/>
      </w:pPr>
      <w:r w:rsidRPr="002A0893">
        <w:t>Introduction</w:t>
      </w:r>
    </w:p>
    <w:p w14:paraId="165DA706" w14:textId="3275B99F" w:rsidR="002F01A2" w:rsidRDefault="00DA7CCB" w:rsidP="002F01A2">
      <w:r>
        <w:t>In RAN1#86</w:t>
      </w:r>
      <w:r w:rsidR="006C5BDC">
        <w:t>b</w:t>
      </w:r>
      <w:r>
        <w:t xml:space="preserve">, </w:t>
      </w:r>
      <w:r w:rsidR="006C5BDC">
        <w:t xml:space="preserve">a couple of agreements were made regarding the </w:t>
      </w:r>
      <w:r w:rsidR="00E37B03">
        <w:t>NR-PBCH</w:t>
      </w:r>
      <w:r w:rsidR="006C5BDC">
        <w:t xml:space="preserve"> design. </w:t>
      </w:r>
      <w:r>
        <w:t xml:space="preserve">In this contribution we </w:t>
      </w:r>
      <w:r w:rsidR="00E37B03">
        <w:t>focus on</w:t>
      </w:r>
      <w:r w:rsidR="00747231">
        <w:t xml:space="preserve"> </w:t>
      </w:r>
      <w:r w:rsidR="00644C5A">
        <w:t xml:space="preserve">PBCH </w:t>
      </w:r>
      <w:r w:rsidR="00747231">
        <w:t>design for the millimeter wave bands</w:t>
      </w:r>
      <w:r w:rsidR="006C5BDC">
        <w:t xml:space="preserve"> (</w:t>
      </w:r>
      <w:r w:rsidR="00E37B03">
        <w:t>previously</w:t>
      </w:r>
      <w:r w:rsidR="006C5BDC">
        <w:t xml:space="preserve"> </w:t>
      </w:r>
      <w:r w:rsidR="00E37B03">
        <w:t>discussed</w:t>
      </w:r>
      <w:r w:rsidR="006C5BDC">
        <w:t xml:space="preserve"> in [1])</w:t>
      </w:r>
      <w:r w:rsidR="006079CF">
        <w:t xml:space="preserve">. </w:t>
      </w:r>
      <w:r w:rsidR="003724B6">
        <w:t>Some aspects of PBCH are discussed in [</w:t>
      </w:r>
      <w:r w:rsidR="004B12F4">
        <w:t>2</w:t>
      </w:r>
      <w:r w:rsidR="003724B6">
        <w:t xml:space="preserve">], such as, its </w:t>
      </w:r>
      <w:r w:rsidR="008351A3">
        <w:t xml:space="preserve">TDM </w:t>
      </w:r>
      <w:r w:rsidR="003724B6">
        <w:t>multiplexing and RE mapping within a SS block, subcarrier spacing, and us</w:t>
      </w:r>
      <w:r w:rsidR="008351A3">
        <w:t>e</w:t>
      </w:r>
      <w:r w:rsidR="003724B6">
        <w:t xml:space="preserve"> of other SS</w:t>
      </w:r>
      <w:r w:rsidR="004B12F4">
        <w:t xml:space="preserve"> signals are reference for PBCH</w:t>
      </w:r>
      <w:r w:rsidR="003724B6">
        <w:t xml:space="preserve">. </w:t>
      </w:r>
      <w:r w:rsidR="002F01A2">
        <w:t>We compare two multiplexing methods (TDM/FDM) for the sync signals within a sync signal block in [</w:t>
      </w:r>
      <w:r w:rsidR="009875DF">
        <w:t>4</w:t>
      </w:r>
      <w:r w:rsidR="002F01A2">
        <w:t>].</w:t>
      </w:r>
    </w:p>
    <w:p w14:paraId="2ADEF0A0" w14:textId="77777777" w:rsidR="00DA7CCB" w:rsidRDefault="00DA7CCB"/>
    <w:p w14:paraId="30BD75FA" w14:textId="1DAA37FC" w:rsidR="00221AEE" w:rsidRDefault="004B12F4" w:rsidP="004B12F4">
      <w:pPr>
        <w:pStyle w:val="Heading1"/>
      </w:pPr>
      <w:r>
        <w:t>PBCH design</w:t>
      </w:r>
    </w:p>
    <w:p w14:paraId="755A5BC0" w14:textId="77777777" w:rsidR="00644C5A" w:rsidRDefault="00644C5A" w:rsidP="00DA7CCB">
      <w:pPr>
        <w:jc w:val="left"/>
      </w:pPr>
    </w:p>
    <w:p w14:paraId="74271DD5" w14:textId="7A978777" w:rsidR="002F01A2" w:rsidRDefault="004B12F4" w:rsidP="00644C5A">
      <w:pPr>
        <w:pStyle w:val="Heading2"/>
      </w:pPr>
      <w:r>
        <w:t>Available periodicity</w:t>
      </w:r>
    </w:p>
    <w:p w14:paraId="7C568CC0" w14:textId="04F6CFE1" w:rsidR="00A87396" w:rsidRPr="004B12F4" w:rsidRDefault="004B12F4" w:rsidP="004B12F4">
      <w:pPr>
        <w:jc w:val="left"/>
      </w:pPr>
      <w:r>
        <w:t>PBCH is transmitted as part of SS block.  As discussed in [2], e</w:t>
      </w:r>
      <w:r w:rsidR="00854D50" w:rsidRPr="004B12F4">
        <w:t xml:space="preserve">very 5 msec,  0.25 msec worth of resources </w:t>
      </w:r>
      <w:r>
        <w:t>are</w:t>
      </w:r>
      <w:r w:rsidR="00854D50" w:rsidRPr="004B12F4">
        <w:t xml:space="preserve"> allocated for</w:t>
      </w:r>
      <w:r>
        <w:t xml:space="preserve"> the transmission of a SS burst, where e</w:t>
      </w:r>
      <w:r w:rsidR="00854D50" w:rsidRPr="004B12F4">
        <w:t xml:space="preserve">ach SS burst consists of 14 consecutive SS blocks.   </w:t>
      </w:r>
    </w:p>
    <w:p w14:paraId="1F62A76D" w14:textId="1909EFE2" w:rsidR="00501915" w:rsidRDefault="00854D50" w:rsidP="00501915">
      <w:pPr>
        <w:keepNext/>
        <w:jc w:val="center"/>
      </w:pPr>
      <w:r>
        <w:object w:dxaOrig="10484" w:dyaOrig="7709" w14:anchorId="6EC71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01.75pt" o:ole="">
            <v:imagedata r:id="rId13" o:title=""/>
          </v:shape>
          <o:OLEObject Type="Embed" ProgID="Visio.Drawing.11" ShapeID="_x0000_i1025" DrawAspect="Content" ObjectID="_1539883027" r:id="rId14"/>
        </w:object>
      </w:r>
      <w:bookmarkStart w:id="0" w:name="_GoBack"/>
      <w:bookmarkEnd w:id="0"/>
      <w:r w:rsidR="007050D7">
        <w:fldChar w:fldCharType="begin"/>
      </w:r>
      <w:r w:rsidR="007050D7">
        <w:instrText xml:space="preserve"> EMB</w:instrText>
      </w:r>
      <w:r w:rsidR="00A2258C" w:rsidRPr="00A2258C">
        <w:instrText>ftp://baggage/Projects/3GPP_Standardization_Project/RAN1/2016/R1-86b/NR/R14-74/</w:instrText>
      </w:r>
      <w:r w:rsidR="007050D7">
        <w:instrText xml:space="preserve">ED Visio.Drawing.11 </w:instrText>
      </w:r>
      <w:r w:rsidR="007050D7">
        <w:fldChar w:fldCharType="separate"/>
      </w:r>
      <w:r w:rsidR="00D837AF">
        <w:pict w14:anchorId="15CE45B7">
          <v:shape id="_x0000_i1026" type="#_x0000_t75" style="width:417.75pt;height:316.5pt">
            <v:imagedata r:id="rId15" o:title=""/>
          </v:shape>
        </w:pict>
      </w:r>
      <w:r w:rsidR="007050D7">
        <w:fldChar w:fldCharType="end"/>
      </w:r>
    </w:p>
    <w:p w14:paraId="26BDB5E0" w14:textId="77777777" w:rsidR="00AA06BF" w:rsidRPr="00E6531C" w:rsidRDefault="00501915" w:rsidP="00501915">
      <w:pPr>
        <w:pStyle w:val="Caption"/>
        <w:jc w:val="center"/>
        <w:rPr>
          <w:b/>
          <w:i w:val="0"/>
          <w:sz w:val="22"/>
          <w:szCs w:val="22"/>
        </w:rPr>
      </w:pPr>
      <w:bookmarkStart w:id="1" w:name="_Ref463016939"/>
      <w:r w:rsidRPr="00E6531C">
        <w:rPr>
          <w:b/>
          <w:i w:val="0"/>
          <w:sz w:val="22"/>
          <w:szCs w:val="22"/>
        </w:rPr>
        <w:t xml:space="preserve">Figure </w:t>
      </w:r>
      <w:r w:rsidRPr="00E6531C">
        <w:rPr>
          <w:b/>
          <w:i w:val="0"/>
          <w:sz w:val="22"/>
          <w:szCs w:val="22"/>
        </w:rPr>
        <w:fldChar w:fldCharType="begin"/>
      </w:r>
      <w:r w:rsidRPr="00E6531C">
        <w:rPr>
          <w:b/>
          <w:i w:val="0"/>
          <w:sz w:val="22"/>
          <w:szCs w:val="22"/>
        </w:rPr>
        <w:instrText xml:space="preserve"> SEQ Figure \* ARABIC </w:instrText>
      </w:r>
      <w:r w:rsidRPr="00E6531C">
        <w:rPr>
          <w:b/>
          <w:i w:val="0"/>
          <w:sz w:val="22"/>
          <w:szCs w:val="22"/>
        </w:rPr>
        <w:fldChar w:fldCharType="separate"/>
      </w:r>
      <w:r w:rsidR="00557AFD" w:rsidRPr="00E6531C">
        <w:rPr>
          <w:b/>
          <w:i w:val="0"/>
          <w:noProof/>
          <w:sz w:val="22"/>
          <w:szCs w:val="22"/>
        </w:rPr>
        <w:t>1</w:t>
      </w:r>
      <w:r w:rsidRPr="00E6531C">
        <w:rPr>
          <w:b/>
          <w:i w:val="0"/>
          <w:sz w:val="22"/>
          <w:szCs w:val="22"/>
        </w:rPr>
        <w:fldChar w:fldCharType="end"/>
      </w:r>
      <w:bookmarkEnd w:id="1"/>
      <w:r w:rsidRPr="00E6531C">
        <w:rPr>
          <w:b/>
          <w:i w:val="0"/>
          <w:sz w:val="22"/>
          <w:szCs w:val="22"/>
        </w:rPr>
        <w:t xml:space="preserve"> -- resources allocated to sync transmission</w:t>
      </w:r>
    </w:p>
    <w:p w14:paraId="56F70B78" w14:textId="77777777" w:rsidR="00501915" w:rsidRPr="00501915" w:rsidRDefault="00501915" w:rsidP="00501915"/>
    <w:p w14:paraId="4AD240DA" w14:textId="74A16839" w:rsidR="00E624CD" w:rsidRDefault="008351A3" w:rsidP="00E624CD">
      <w:pPr>
        <w:jc w:val="left"/>
      </w:pPr>
      <w:r>
        <w:t>E</w:t>
      </w:r>
      <w:r w:rsidR="00E624CD">
        <w:t>ach burst consists of a number of SS blocks (potentially differently beam-formed). Each SS</w:t>
      </w:r>
      <w:r w:rsidR="00AB746F">
        <w:t xml:space="preserve"> blocks contains PSS, SSS and may also contain</w:t>
      </w:r>
      <w:r w:rsidR="00E624CD">
        <w:t xml:space="preserve"> PBCH.</w:t>
      </w:r>
      <w:r>
        <w:t xml:space="preserve"> </w:t>
      </w:r>
      <w:r w:rsidRPr="008351A3">
        <w:t>Therefore</w:t>
      </w:r>
      <w:r w:rsidRPr="008351A3">
        <w:rPr>
          <w:b/>
        </w:rPr>
        <w:t xml:space="preserve"> the shortest periodicity for PBCH transmission is every SS block of a burst every 5ms.</w:t>
      </w:r>
    </w:p>
    <w:p w14:paraId="48529C76" w14:textId="77777777" w:rsidR="006D23DD" w:rsidRDefault="006D23DD" w:rsidP="006D23DD">
      <w:pPr>
        <w:jc w:val="left"/>
      </w:pPr>
    </w:p>
    <w:p w14:paraId="2E4C8337" w14:textId="32AD81E3" w:rsidR="006D23DD" w:rsidRDefault="008351A3" w:rsidP="00A61F10">
      <w:pPr>
        <w:jc w:val="left"/>
      </w:pPr>
      <w:r>
        <w:lastRenderedPageBreak/>
        <w:t xml:space="preserve">However, this shortest </w:t>
      </w:r>
      <w:r w:rsidR="00A304D4">
        <w:t>periodicity</w:t>
      </w:r>
      <w:r>
        <w:t xml:space="preserve"> </w:t>
      </w:r>
      <w:r w:rsidR="006D23DD">
        <w:t xml:space="preserve">PBCH </w:t>
      </w:r>
      <w:r w:rsidR="00307EDD">
        <w:t>is not needed in all deployment scenarios</w:t>
      </w:r>
      <w:r w:rsidR="00B417CB">
        <w:t xml:space="preserve"> and BS can be given flexibility to optimize</w:t>
      </w:r>
      <w:r w:rsidR="00307EDD">
        <w:t xml:space="preserve">.  Moreover, a </w:t>
      </w:r>
      <w:r>
        <w:t xml:space="preserve">mobility and </w:t>
      </w:r>
      <w:r w:rsidR="006D23DD">
        <w:t>beam reference signals</w:t>
      </w:r>
      <w:r w:rsidR="00557AFD">
        <w:t xml:space="preserve"> (</w:t>
      </w:r>
      <w:r w:rsidR="006D23DD">
        <w:t xml:space="preserve">MRS) may also need to be transmitted. </w:t>
      </w:r>
      <w:r w:rsidR="00307EDD">
        <w:t>Therefore</w:t>
      </w:r>
      <w:r w:rsidR="006D23DD">
        <w:t xml:space="preserve">, </w:t>
      </w:r>
      <w:r w:rsidR="006D23DD" w:rsidRPr="00307EDD">
        <w:rPr>
          <w:b/>
        </w:rPr>
        <w:t>PBCH may not be transmitted as frequent</w:t>
      </w:r>
      <w:r w:rsidR="00AB746F" w:rsidRPr="00307EDD">
        <w:rPr>
          <w:b/>
        </w:rPr>
        <w:t>ly</w:t>
      </w:r>
      <w:r w:rsidR="006D23DD" w:rsidRPr="00307EDD">
        <w:rPr>
          <w:b/>
        </w:rPr>
        <w:t xml:space="preserve"> as PSS/SSS</w:t>
      </w:r>
      <w:r w:rsidR="006D23DD">
        <w:t xml:space="preserve">. </w:t>
      </w:r>
      <w:r w:rsidR="00557AFD">
        <w:t xml:space="preserve">Hence, the BS may not transmit PBCH in some SS blocks. </w:t>
      </w:r>
      <w:r w:rsidR="006D23DD" w:rsidRPr="00307EDD">
        <w:rPr>
          <w:b/>
        </w:rPr>
        <w:t xml:space="preserve">In </w:t>
      </w:r>
      <w:r w:rsidR="00557AFD" w:rsidRPr="00307EDD">
        <w:rPr>
          <w:b/>
        </w:rPr>
        <w:t xml:space="preserve">those </w:t>
      </w:r>
      <w:r w:rsidR="006D23DD" w:rsidRPr="00307EDD">
        <w:rPr>
          <w:b/>
        </w:rPr>
        <w:t>SS blocks where PBCH is not present, the BS may transmit MRS instead</w:t>
      </w:r>
      <w:r w:rsidR="006D23DD">
        <w:t>.</w:t>
      </w:r>
      <w:r w:rsidR="00557AFD">
        <w:t xml:space="preserve"> </w:t>
      </w:r>
      <w:r w:rsidR="00CB7F92">
        <w:t xml:space="preserve">Therefore BS has the flexibility to optimize PBCH periodicity for various deployment scenarios (standalone, nonstandalone, DC, CA, etc.) </w:t>
      </w:r>
      <w:r w:rsidR="00557AFD">
        <w:t xml:space="preserve">Note that the BW of MRS </w:t>
      </w:r>
      <w:r w:rsidR="00A61F10">
        <w:t>may</w:t>
      </w:r>
      <w:r w:rsidR="00557AFD">
        <w:t xml:space="preserve"> be wider than PSS/SSS/PBCH, also the TDM design allows the flexibility to transmit MRS with a potentially different beam than PSS/SSS in the same SS block. An example is shown in </w:t>
      </w:r>
      <w:r w:rsidR="00A61F10">
        <w:fldChar w:fldCharType="begin"/>
      </w:r>
      <w:r w:rsidR="00A61F10">
        <w:instrText xml:space="preserve"> REF _Ref466047889 \h </w:instrText>
      </w:r>
      <w:r w:rsidR="00A61F10">
        <w:fldChar w:fldCharType="separate"/>
      </w:r>
      <w:r w:rsidR="00307EDD" w:rsidRPr="00557AFD">
        <w:t xml:space="preserve">Figure </w:t>
      </w:r>
      <w:r w:rsidR="00307EDD">
        <w:rPr>
          <w:noProof/>
        </w:rPr>
        <w:t>2</w:t>
      </w:r>
      <w:r w:rsidR="00A61F10">
        <w:fldChar w:fldCharType="end"/>
      </w:r>
      <w:r w:rsidR="00A61F10">
        <w:t>.</w:t>
      </w:r>
    </w:p>
    <w:p w14:paraId="1C49F44F" w14:textId="77777777" w:rsidR="00557AFD" w:rsidRDefault="00557AFD" w:rsidP="00557AFD">
      <w:pPr>
        <w:keepNext/>
        <w:jc w:val="center"/>
      </w:pPr>
      <w:r w:rsidRPr="00557AFD">
        <w:object w:dxaOrig="4788" w:dyaOrig="5018" w14:anchorId="0A43BB15">
          <v:shape id="_x0000_i1027" type="#_x0000_t75" style="width:227.25pt;height:237.75pt" o:ole="">
            <v:imagedata r:id="rId16" o:title=""/>
          </v:shape>
          <o:OLEObject Type="Embed" ProgID="Visio.Drawing.11" ShapeID="_x0000_i1027" DrawAspect="Content" ObjectID="_1539883028" r:id="rId17"/>
        </w:object>
      </w:r>
    </w:p>
    <w:p w14:paraId="20452590" w14:textId="56BE119F" w:rsidR="00557AFD" w:rsidRPr="00E6531C" w:rsidRDefault="00557AFD" w:rsidP="00557AFD">
      <w:pPr>
        <w:pStyle w:val="Caption"/>
        <w:jc w:val="center"/>
        <w:rPr>
          <w:b/>
          <w:i w:val="0"/>
          <w:sz w:val="22"/>
          <w:szCs w:val="22"/>
        </w:rPr>
      </w:pPr>
      <w:bookmarkStart w:id="2" w:name="_Ref466047889"/>
      <w:r w:rsidRPr="00E6531C">
        <w:rPr>
          <w:b/>
          <w:i w:val="0"/>
          <w:sz w:val="22"/>
          <w:szCs w:val="22"/>
        </w:rPr>
        <w:t xml:space="preserve">Figure </w:t>
      </w:r>
      <w:r w:rsidRPr="00E6531C">
        <w:rPr>
          <w:b/>
          <w:i w:val="0"/>
          <w:sz w:val="22"/>
          <w:szCs w:val="22"/>
        </w:rPr>
        <w:fldChar w:fldCharType="begin"/>
      </w:r>
      <w:r w:rsidRPr="00E6531C">
        <w:rPr>
          <w:b/>
          <w:i w:val="0"/>
          <w:sz w:val="22"/>
          <w:szCs w:val="22"/>
        </w:rPr>
        <w:instrText xml:space="preserve"> SEQ Figure \* ARABIC </w:instrText>
      </w:r>
      <w:r w:rsidRPr="00E6531C">
        <w:rPr>
          <w:b/>
          <w:i w:val="0"/>
          <w:sz w:val="22"/>
          <w:szCs w:val="22"/>
        </w:rPr>
        <w:fldChar w:fldCharType="separate"/>
      </w:r>
      <w:r w:rsidR="00307EDD" w:rsidRPr="00E6531C">
        <w:rPr>
          <w:b/>
          <w:i w:val="0"/>
          <w:noProof/>
          <w:sz w:val="22"/>
          <w:szCs w:val="22"/>
        </w:rPr>
        <w:t>2</w:t>
      </w:r>
      <w:r w:rsidRPr="00E6531C">
        <w:rPr>
          <w:b/>
          <w:i w:val="0"/>
          <w:sz w:val="22"/>
          <w:szCs w:val="22"/>
        </w:rPr>
        <w:fldChar w:fldCharType="end"/>
      </w:r>
      <w:bookmarkEnd w:id="2"/>
      <w:r w:rsidRPr="00E6531C">
        <w:rPr>
          <w:b/>
          <w:i w:val="0"/>
          <w:sz w:val="22"/>
          <w:szCs w:val="22"/>
        </w:rPr>
        <w:t xml:space="preserve"> -- multiplexing PBCH or MRS with sync signals in a SS block</w:t>
      </w:r>
    </w:p>
    <w:p w14:paraId="0B7D68BE" w14:textId="77777777" w:rsidR="006D23DD" w:rsidRDefault="006D23DD" w:rsidP="006D23DD">
      <w:pPr>
        <w:jc w:val="left"/>
      </w:pPr>
    </w:p>
    <w:p w14:paraId="7D98AECE" w14:textId="77777777" w:rsidR="00307EDD" w:rsidRPr="00307EDD" w:rsidRDefault="00DD53BE" w:rsidP="00307EDD">
      <w:pPr>
        <w:pStyle w:val="Heading2"/>
        <w:tabs>
          <w:tab w:val="clear" w:pos="576"/>
        </w:tabs>
      </w:pPr>
      <w:r w:rsidRPr="00307EDD">
        <w:t xml:space="preserve"> </w:t>
      </w:r>
      <w:r w:rsidR="00307EDD" w:rsidRPr="008655F0">
        <w:t>Repeating struct</w:t>
      </w:r>
      <w:r w:rsidR="00307EDD" w:rsidRPr="00307EDD">
        <w:t>ure in time</w:t>
      </w:r>
    </w:p>
    <w:p w14:paraId="0591BF64" w14:textId="11E94CBE" w:rsidR="008131E3" w:rsidRPr="00931CF9" w:rsidRDefault="00307EDD" w:rsidP="00931CF9">
      <w:r w:rsidRPr="008655F0">
        <w:t>As</w:t>
      </w:r>
      <w:r>
        <w:t xml:space="preserve"> shown in </w:t>
      </w:r>
      <w:r w:rsidR="00931CF9">
        <w:fldChar w:fldCharType="begin"/>
      </w:r>
      <w:r w:rsidR="00931CF9">
        <w:instrText xml:space="preserve"> REF _Ref466047889 \h </w:instrText>
      </w:r>
      <w:r w:rsidR="00931CF9">
        <w:fldChar w:fldCharType="separate"/>
      </w:r>
      <w:r w:rsidR="00931CF9" w:rsidRPr="00557AFD">
        <w:t xml:space="preserve">Figure </w:t>
      </w:r>
      <w:r w:rsidR="00931CF9">
        <w:rPr>
          <w:noProof/>
        </w:rPr>
        <w:t>2</w:t>
      </w:r>
      <w:r w:rsidR="00931CF9">
        <w:fldChar w:fldCharType="end"/>
      </w:r>
      <w:r>
        <w:t xml:space="preserve">, </w:t>
      </w:r>
      <w:r w:rsidRPr="00AC6306">
        <w:rPr>
          <w:b/>
        </w:rPr>
        <w:t>we propose two PBCH OFDM symbols sandwiching PSS/SSS</w:t>
      </w:r>
      <w:r>
        <w:t>.  Moreover, the two PBCH transmission are kept identical (i.e., same redundancy versions).  This ‘sandwiching and repeating’ structure of PBCH then permits finer CFO estimation.</w:t>
      </w:r>
      <w:r w:rsidR="00931CF9">
        <w:t xml:space="preserve"> Moreover, post-acquisition, the repeating structure </w:t>
      </w:r>
      <w:r w:rsidR="00A304D4">
        <w:t>offers</w:t>
      </w:r>
      <w:r w:rsidR="00931CF9">
        <w:t xml:space="preserve"> UE some opportunity for RX beam refinement. </w:t>
      </w:r>
      <w:r w:rsidR="007F3267" w:rsidRPr="00931CF9">
        <w:rPr>
          <w:b/>
        </w:rPr>
        <w:t xml:space="preserve"> </w:t>
      </w:r>
    </w:p>
    <w:p w14:paraId="17B9FFFE" w14:textId="77777777" w:rsidR="0015079D" w:rsidRDefault="0015079D" w:rsidP="00FD0272">
      <w:pPr>
        <w:jc w:val="left"/>
      </w:pPr>
    </w:p>
    <w:p w14:paraId="27454430" w14:textId="1264DFF9" w:rsidR="00AD720E" w:rsidRDefault="00307EDD" w:rsidP="00CE39CA">
      <w:pPr>
        <w:pStyle w:val="Heading2"/>
      </w:pPr>
      <w:r>
        <w:t>Reference</w:t>
      </w:r>
      <w:r w:rsidR="00CE39CA">
        <w:t xml:space="preserve"> signal </w:t>
      </w:r>
      <w:r w:rsidR="00931CF9">
        <w:t>and transmission scheme</w:t>
      </w:r>
    </w:p>
    <w:p w14:paraId="0C24DABD" w14:textId="6B2B527E" w:rsidR="003860A1" w:rsidRDefault="00931437" w:rsidP="00931437">
      <w:pPr>
        <w:jc w:val="left"/>
      </w:pPr>
      <w:r>
        <w:t xml:space="preserve">For good link budget and/or acquisition time, the design should support transmit diversity for PBCH. As discussed in [2], </w:t>
      </w:r>
      <w:r w:rsidRPr="00931437">
        <w:rPr>
          <w:b/>
        </w:rPr>
        <w:t xml:space="preserve">SSS can be repurposed to provide reference for </w:t>
      </w:r>
      <w:r w:rsidR="00B417CB">
        <w:rPr>
          <w:b/>
        </w:rPr>
        <w:t xml:space="preserve">PBCH for </w:t>
      </w:r>
      <w:r w:rsidRPr="00931437">
        <w:rPr>
          <w:b/>
        </w:rPr>
        <w:t>upto 2 ports</w:t>
      </w:r>
      <w:r>
        <w:t>, therefore SFBC with two ports can be supported without additional DMRS overhead.  For more than 2-port diversity, the resource overhead of DMRS has to be evaluated to determine if further improvement in link budget is achievable.</w:t>
      </w:r>
    </w:p>
    <w:p w14:paraId="19E42A4B" w14:textId="77777777" w:rsidR="00931437" w:rsidRDefault="00931437" w:rsidP="00931437">
      <w:pPr>
        <w:jc w:val="left"/>
      </w:pPr>
    </w:p>
    <w:p w14:paraId="7CE8440C" w14:textId="77777777" w:rsidR="00854956" w:rsidRDefault="003860A1" w:rsidP="0079681C">
      <w:pPr>
        <w:keepNext/>
        <w:jc w:val="center"/>
      </w:pPr>
      <w:r>
        <w:object w:dxaOrig="4673" w:dyaOrig="3665" w14:anchorId="1D6A80BA">
          <v:shape id="_x0000_i1028" type="#_x0000_t75" style="width:337.5pt;height:267pt" o:ole="">
            <v:imagedata r:id="rId18" o:title=""/>
          </v:shape>
          <o:OLEObject Type="Embed" ProgID="Visio.Drawing.11" ShapeID="_x0000_i1028" DrawAspect="Content" ObjectID="_1539883029" r:id="rId19"/>
        </w:object>
      </w:r>
    </w:p>
    <w:p w14:paraId="6F146C26" w14:textId="60E9EE17" w:rsidR="00DA7CCB" w:rsidRPr="00E6531C" w:rsidRDefault="00854956" w:rsidP="00883CDA">
      <w:pPr>
        <w:pStyle w:val="Caption"/>
        <w:jc w:val="center"/>
        <w:rPr>
          <w:b/>
          <w:i w:val="0"/>
          <w:sz w:val="32"/>
          <w:szCs w:val="32"/>
        </w:rPr>
      </w:pPr>
      <w:r w:rsidRPr="00E6531C">
        <w:rPr>
          <w:b/>
          <w:i w:val="0"/>
          <w:sz w:val="22"/>
          <w:szCs w:val="22"/>
        </w:rPr>
        <w:t xml:space="preserve">Figure </w:t>
      </w:r>
      <w:r w:rsidRPr="00E6531C">
        <w:rPr>
          <w:b/>
          <w:i w:val="0"/>
          <w:sz w:val="22"/>
          <w:szCs w:val="22"/>
        </w:rPr>
        <w:fldChar w:fldCharType="begin"/>
      </w:r>
      <w:r w:rsidRPr="00E6531C">
        <w:rPr>
          <w:b/>
          <w:i w:val="0"/>
          <w:sz w:val="22"/>
          <w:szCs w:val="22"/>
        </w:rPr>
        <w:instrText xml:space="preserve"> SEQ Figure \* ARABIC </w:instrText>
      </w:r>
      <w:r w:rsidRPr="00E6531C">
        <w:rPr>
          <w:b/>
          <w:i w:val="0"/>
          <w:sz w:val="22"/>
          <w:szCs w:val="22"/>
        </w:rPr>
        <w:fldChar w:fldCharType="separate"/>
      </w:r>
      <w:r w:rsidR="00931437" w:rsidRPr="00E6531C">
        <w:rPr>
          <w:b/>
          <w:i w:val="0"/>
          <w:noProof/>
          <w:sz w:val="22"/>
          <w:szCs w:val="22"/>
        </w:rPr>
        <w:t>3</w:t>
      </w:r>
      <w:r w:rsidRPr="00E6531C">
        <w:rPr>
          <w:b/>
          <w:i w:val="0"/>
          <w:sz w:val="22"/>
          <w:szCs w:val="22"/>
        </w:rPr>
        <w:fldChar w:fldCharType="end"/>
      </w:r>
      <w:r w:rsidRPr="00E6531C">
        <w:rPr>
          <w:b/>
          <w:i w:val="0"/>
          <w:sz w:val="22"/>
          <w:szCs w:val="22"/>
        </w:rPr>
        <w:t xml:space="preserve"> -- proposed SSS signal design</w:t>
      </w:r>
    </w:p>
    <w:p w14:paraId="7D85E756" w14:textId="77777777" w:rsidR="00DA7CCB" w:rsidRDefault="00DA7CCB" w:rsidP="00DA7CCB">
      <w:pPr>
        <w:rPr>
          <w:b/>
        </w:rPr>
      </w:pPr>
    </w:p>
    <w:p w14:paraId="63F89BD9" w14:textId="77777777" w:rsidR="00B417CB" w:rsidRDefault="00B417CB" w:rsidP="00B417CB">
      <w:pPr>
        <w:pStyle w:val="Heading2"/>
      </w:pPr>
      <w:r>
        <w:t>PBCH content and capacity</w:t>
      </w:r>
    </w:p>
    <w:p w14:paraId="3F1658ED" w14:textId="51D02AD4" w:rsidR="00E87187" w:rsidRPr="00E87187" w:rsidRDefault="00E87187" w:rsidP="00B417CB">
      <w:pPr>
        <w:jc w:val="left"/>
      </w:pPr>
      <w:r w:rsidRPr="00E87187">
        <w:t>Th</w:t>
      </w:r>
      <w:r>
        <w:t>e following was agreed in RAN1#86b:</w:t>
      </w:r>
    </w:p>
    <w:tbl>
      <w:tblPr>
        <w:tblStyle w:val="TableGrid"/>
        <w:tblpPr w:leftFromText="180" w:rightFromText="180" w:vertAnchor="text" w:horzAnchor="margin" w:tblpY="-14"/>
        <w:tblW w:w="0" w:type="auto"/>
        <w:tblLook w:val="04A0" w:firstRow="1" w:lastRow="0" w:firstColumn="1" w:lastColumn="0" w:noHBand="0" w:noVBand="1"/>
      </w:tblPr>
      <w:tblGrid>
        <w:gridCol w:w="9307"/>
      </w:tblGrid>
      <w:tr w:rsidR="00E87187" w14:paraId="752C41FB" w14:textId="77777777" w:rsidTr="00E87187">
        <w:tc>
          <w:tcPr>
            <w:tcW w:w="9307" w:type="dxa"/>
          </w:tcPr>
          <w:p w14:paraId="59E4F134" w14:textId="77777777" w:rsidR="00E87187" w:rsidRPr="00E624CD" w:rsidRDefault="00E87187" w:rsidP="00E87187">
            <w:pPr>
              <w:jc w:val="left"/>
            </w:pPr>
            <w:r w:rsidRPr="00E624CD">
              <w:rPr>
                <w:b/>
                <w:bCs/>
                <w:highlight w:val="green"/>
                <w:lang w:val="en-GB"/>
              </w:rPr>
              <w:t>Agreements:</w:t>
            </w:r>
          </w:p>
          <w:p w14:paraId="24777EA6" w14:textId="77777777" w:rsidR="00C557AB" w:rsidRPr="006108F4" w:rsidRDefault="00314E08" w:rsidP="006108F4">
            <w:pPr>
              <w:numPr>
                <w:ilvl w:val="1"/>
                <w:numId w:val="15"/>
              </w:numPr>
              <w:jc w:val="left"/>
            </w:pPr>
            <w:r w:rsidRPr="006108F4">
              <w:t>Following broadcasting schemes to carry essential system information can be considered</w:t>
            </w:r>
          </w:p>
          <w:p w14:paraId="17427CED" w14:textId="77777777" w:rsidR="00C557AB" w:rsidRPr="006108F4" w:rsidRDefault="00314E08" w:rsidP="006108F4">
            <w:pPr>
              <w:numPr>
                <w:ilvl w:val="2"/>
                <w:numId w:val="15"/>
              </w:numPr>
              <w:jc w:val="left"/>
            </w:pPr>
            <w:r w:rsidRPr="006108F4">
              <w:t>Option 1: NR-PBCH carries a part of essential system information for initial access including information necessary for UE to receive channel carrying remaining essential system information</w:t>
            </w:r>
          </w:p>
          <w:p w14:paraId="6CBF42AC" w14:textId="77777777" w:rsidR="00C557AB" w:rsidRPr="006108F4" w:rsidRDefault="00314E08" w:rsidP="006108F4">
            <w:pPr>
              <w:numPr>
                <w:ilvl w:val="2"/>
                <w:numId w:val="15"/>
              </w:numPr>
              <w:jc w:val="left"/>
            </w:pPr>
            <w:r w:rsidRPr="006108F4">
              <w:t>Option 2: NR-PBCH carries minimum information necessary for UE to perform initial UL transmission (not limited to NR-PRACH) in addition to information in Option 1</w:t>
            </w:r>
          </w:p>
          <w:p w14:paraId="006DB1A1" w14:textId="77777777" w:rsidR="00C557AB" w:rsidRPr="006108F4" w:rsidRDefault="00314E08" w:rsidP="006108F4">
            <w:pPr>
              <w:numPr>
                <w:ilvl w:val="2"/>
                <w:numId w:val="15"/>
              </w:numPr>
              <w:jc w:val="left"/>
            </w:pPr>
            <w:r w:rsidRPr="006108F4">
              <w:t>Option 3: NR-PBCH carries all essential system information for initial access</w:t>
            </w:r>
          </w:p>
          <w:p w14:paraId="6748F6AD" w14:textId="183F85EE" w:rsidR="00E87187" w:rsidRDefault="00314E08" w:rsidP="006108F4">
            <w:pPr>
              <w:numPr>
                <w:ilvl w:val="2"/>
                <w:numId w:val="15"/>
              </w:numPr>
              <w:jc w:val="left"/>
            </w:pPr>
            <w:r w:rsidRPr="006108F4">
              <w:t>Other options are not precluded</w:t>
            </w:r>
          </w:p>
        </w:tc>
      </w:tr>
    </w:tbl>
    <w:p w14:paraId="08106D8F" w14:textId="77777777" w:rsidR="00E87187" w:rsidRDefault="00E87187" w:rsidP="00B25788">
      <w:pPr>
        <w:rPr>
          <w:b/>
        </w:rPr>
      </w:pPr>
    </w:p>
    <w:p w14:paraId="5D71C7ED" w14:textId="44E668BF" w:rsidR="00A21ABF" w:rsidRDefault="00A21ABF" w:rsidP="00B25788">
      <w:r>
        <w:rPr>
          <w:b/>
        </w:rPr>
        <w:t>Conveying SS block index</w:t>
      </w:r>
      <w:r w:rsidRPr="008655F0">
        <w:rPr>
          <w:b/>
        </w:rPr>
        <w:t>:</w:t>
      </w:r>
      <w:r w:rsidR="009875DF">
        <w:t xml:space="preserve"> </w:t>
      </w:r>
      <w:r w:rsidR="00B417CB">
        <w:t xml:space="preserve">PBCH design should permit the UE to combine transmissions from different SS blocks: indeed, multiple beams (even within burst) can excite a cluster and deliver useful signal to the UE. Moreover, multibeam sync design should permit the BS the flexibility in beam shape and beamsweep pattern, and the BS may indeed use wider or even pseudo-omni beams through a burst. </w:t>
      </w:r>
      <w:r w:rsidR="009875DF">
        <w:t>In a companion paper [6</w:t>
      </w:r>
      <w:r>
        <w:t>]</w:t>
      </w:r>
      <w:r w:rsidR="00E87187">
        <w:t>,</w:t>
      </w:r>
      <w:r>
        <w:t xml:space="preserve"> we describe </w:t>
      </w:r>
      <w:r w:rsidR="00B417CB">
        <w:t>a</w:t>
      </w:r>
      <w:r>
        <w:t xml:space="preserve"> design that </w:t>
      </w:r>
      <w:r w:rsidRPr="00B417CB">
        <w:rPr>
          <w:b/>
        </w:rPr>
        <w:t>conveys SS block index in PBCH while still permitting the UE to</w:t>
      </w:r>
      <w:r w:rsidR="006108F4" w:rsidRPr="00B417CB">
        <w:rPr>
          <w:b/>
        </w:rPr>
        <w:t xml:space="preserve"> combine</w:t>
      </w:r>
      <w:r w:rsidRPr="00B417CB">
        <w:rPr>
          <w:b/>
        </w:rPr>
        <w:t xml:space="preserve"> PBCH from different SS blocks</w:t>
      </w:r>
      <w:r>
        <w:t xml:space="preserve">. </w:t>
      </w:r>
    </w:p>
    <w:p w14:paraId="687D5C4C" w14:textId="4BE15E8E" w:rsidR="00E87187" w:rsidRDefault="006108F4" w:rsidP="00B25788">
      <w:r>
        <w:rPr>
          <w:b/>
        </w:rPr>
        <w:t>PBCH capacity</w:t>
      </w:r>
      <w:r w:rsidRPr="008655F0">
        <w:rPr>
          <w:b/>
        </w:rPr>
        <w:t>:</w:t>
      </w:r>
      <w:r>
        <w:t xml:space="preserve"> </w:t>
      </w:r>
      <w:r w:rsidR="00A80B90">
        <w:t>Below</w:t>
      </w:r>
      <w:r w:rsidR="009875DF">
        <w:t xml:space="preserve"> </w:t>
      </w:r>
      <w:r>
        <w:t>we provide preliminary PBCH link-level results</w:t>
      </w:r>
      <w:r w:rsidR="00B417CB">
        <w:t xml:space="preserve"> with SFBC</w:t>
      </w:r>
      <w:r w:rsidR="00A80B90">
        <w:t>, on CDL-C scaled to 30ns DS</w:t>
      </w:r>
      <w:r>
        <w:t>.</w:t>
      </w:r>
      <w:r w:rsidR="00A80B90">
        <w:t xml:space="preserve">  Detailed parameters are given in [3, Table 1].</w:t>
      </w:r>
      <w:r>
        <w:t xml:space="preserve"> Further study is needed, however preliminary results show that PBCH can carry 50—70 bits (excluding CRC).  Therefore </w:t>
      </w:r>
      <w:r w:rsidRPr="00A80B90">
        <w:rPr>
          <w:b/>
        </w:rPr>
        <w:t>Option 2 is realizable</w:t>
      </w:r>
      <w:r>
        <w:t xml:space="preserve">. Moreover, </w:t>
      </w:r>
      <w:r w:rsidR="00A80B90" w:rsidRPr="00A80B90">
        <w:rPr>
          <w:b/>
        </w:rPr>
        <w:t>due</w:t>
      </w:r>
      <w:r w:rsidRPr="00A80B90">
        <w:rPr>
          <w:b/>
        </w:rPr>
        <w:t xml:space="preserve"> </w:t>
      </w:r>
      <w:r w:rsidR="007851E0">
        <w:rPr>
          <w:b/>
        </w:rPr>
        <w:t xml:space="preserve">to </w:t>
      </w:r>
      <w:r w:rsidRPr="00A80B90">
        <w:rPr>
          <w:b/>
        </w:rPr>
        <w:t xml:space="preserve">high available </w:t>
      </w:r>
      <w:r w:rsidR="00A304D4" w:rsidRPr="00A80B90">
        <w:rPr>
          <w:b/>
        </w:rPr>
        <w:t>periodicity</w:t>
      </w:r>
      <w:r w:rsidRPr="00A80B90">
        <w:rPr>
          <w:b/>
        </w:rPr>
        <w:t xml:space="preserve"> of PBCH, the essential information can be split over two messages</w:t>
      </w:r>
      <w:r>
        <w:t>.</w:t>
      </w:r>
    </w:p>
    <w:p w14:paraId="7838CC0D" w14:textId="77777777" w:rsidR="00A80B90" w:rsidRDefault="00A80B90" w:rsidP="00A80B90">
      <w:pPr>
        <w:keepNext/>
        <w:jc w:val="center"/>
      </w:pPr>
      <w:r w:rsidRPr="005E6AF3">
        <w:rPr>
          <w:noProof/>
        </w:rPr>
        <w:lastRenderedPageBreak/>
        <w:drawing>
          <wp:inline distT="0" distB="0" distL="0" distR="0" wp14:anchorId="2C06CB25" wp14:editId="1BAC044A">
            <wp:extent cx="3132499" cy="2621327"/>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41713" cy="2629037"/>
                    </a:xfrm>
                    <a:prstGeom prst="rect">
                      <a:avLst/>
                    </a:prstGeom>
                    <a:noFill/>
                    <a:ln>
                      <a:noFill/>
                    </a:ln>
                  </pic:spPr>
                </pic:pic>
              </a:graphicData>
            </a:graphic>
          </wp:inline>
        </w:drawing>
      </w:r>
    </w:p>
    <w:p w14:paraId="36217B57" w14:textId="7A5DE743" w:rsidR="00A80B90" w:rsidRPr="00E6531C" w:rsidRDefault="00A80B90" w:rsidP="00A80B90">
      <w:pPr>
        <w:jc w:val="center"/>
        <w:rPr>
          <w:b/>
        </w:rPr>
      </w:pPr>
      <w:r w:rsidRPr="00E6531C">
        <w:rPr>
          <w:b/>
        </w:rPr>
        <w:t xml:space="preserve">Figure </w:t>
      </w:r>
      <w:r w:rsidRPr="00E6531C">
        <w:rPr>
          <w:b/>
        </w:rPr>
        <w:fldChar w:fldCharType="begin"/>
      </w:r>
      <w:r w:rsidRPr="00E6531C">
        <w:rPr>
          <w:b/>
        </w:rPr>
        <w:instrText xml:space="preserve"> SEQ Figure \* ARABIC </w:instrText>
      </w:r>
      <w:r w:rsidRPr="00E6531C">
        <w:rPr>
          <w:b/>
        </w:rPr>
        <w:fldChar w:fldCharType="separate"/>
      </w:r>
      <w:r w:rsidRPr="00E6531C">
        <w:rPr>
          <w:b/>
          <w:noProof/>
        </w:rPr>
        <w:t>4</w:t>
      </w:r>
      <w:r w:rsidRPr="00E6531C">
        <w:rPr>
          <w:b/>
          <w:noProof/>
        </w:rPr>
        <w:fldChar w:fldCharType="end"/>
      </w:r>
      <w:r w:rsidRPr="00E6531C">
        <w:rPr>
          <w:b/>
        </w:rPr>
        <w:t xml:space="preserve">-- PBCH one-shot decode </w:t>
      </w:r>
      <w:r w:rsidR="00A304D4" w:rsidRPr="00E6531C">
        <w:rPr>
          <w:b/>
        </w:rPr>
        <w:t>performance</w:t>
      </w:r>
      <w:r w:rsidRPr="00E6531C">
        <w:rPr>
          <w:b/>
        </w:rPr>
        <w:t xml:space="preserve"> for various TB sizes</w:t>
      </w:r>
    </w:p>
    <w:p w14:paraId="4B0DC783" w14:textId="77777777" w:rsidR="00E87187" w:rsidRDefault="00E87187" w:rsidP="00B25788"/>
    <w:p w14:paraId="7A19263C" w14:textId="77777777" w:rsidR="00E87187" w:rsidRDefault="00E87187" w:rsidP="00B25788">
      <w:pPr>
        <w:rPr>
          <w:b/>
        </w:rPr>
      </w:pPr>
    </w:p>
    <w:p w14:paraId="1508C010" w14:textId="77777777" w:rsidR="00DA7CCB" w:rsidRDefault="00DA7CCB" w:rsidP="00DA7CCB">
      <w:pPr>
        <w:pStyle w:val="Heading1"/>
        <w:keepNext w:val="0"/>
        <w:widowControl w:val="0"/>
        <w:tabs>
          <w:tab w:val="num" w:pos="432"/>
        </w:tabs>
        <w:autoSpaceDE/>
        <w:autoSpaceDN/>
        <w:adjustRightInd/>
        <w:snapToGrid/>
        <w:spacing w:before="240" w:after="60"/>
        <w:jc w:val="left"/>
      </w:pPr>
      <w:r w:rsidRPr="002A0893">
        <w:t>Conclusions</w:t>
      </w:r>
    </w:p>
    <w:p w14:paraId="0BBCD5FF" w14:textId="1FCB7574" w:rsidR="004B795C" w:rsidRDefault="00AC6306" w:rsidP="0079681C">
      <w:r>
        <w:t xml:space="preserve">Many aspects of PBCH design are tied to other </w:t>
      </w:r>
      <w:r w:rsidR="00A304D4">
        <w:t>constituents</w:t>
      </w:r>
      <w:r>
        <w:t xml:space="preserve"> of an SS block. </w:t>
      </w:r>
      <w:r w:rsidR="004B795C">
        <w:t xml:space="preserve">In this contribution, we </w:t>
      </w:r>
      <w:r>
        <w:t>focus on PBCH</w:t>
      </w:r>
      <w:r w:rsidR="004B795C">
        <w:t xml:space="preserve"> </w:t>
      </w:r>
      <w:r>
        <w:t xml:space="preserve">proposed the following: </w:t>
      </w:r>
    </w:p>
    <w:p w14:paraId="4BE2A34E" w14:textId="3D376910" w:rsidR="00AC6306" w:rsidRPr="007851E0" w:rsidRDefault="00AC6306" w:rsidP="00AC6306">
      <w:pPr>
        <w:pStyle w:val="ListParagraph"/>
        <w:numPr>
          <w:ilvl w:val="0"/>
          <w:numId w:val="17"/>
        </w:numPr>
        <w:rPr>
          <w:b/>
        </w:rPr>
      </w:pPr>
      <w:r>
        <w:rPr>
          <w:b/>
        </w:rPr>
        <w:t>S</w:t>
      </w:r>
      <w:r w:rsidRPr="008351A3">
        <w:rPr>
          <w:b/>
        </w:rPr>
        <w:t xml:space="preserve">hortest periodicity for </w:t>
      </w:r>
      <w:r w:rsidRPr="007851E0">
        <w:rPr>
          <w:b/>
        </w:rPr>
        <w:t>PBCH transmission is every SS block of a burst every 5ms.</w:t>
      </w:r>
    </w:p>
    <w:p w14:paraId="4DF9F521" w14:textId="62614222" w:rsidR="00AC6306" w:rsidRDefault="00AC6306" w:rsidP="00AC6306">
      <w:pPr>
        <w:pStyle w:val="ListParagraph"/>
        <w:numPr>
          <w:ilvl w:val="0"/>
          <w:numId w:val="17"/>
        </w:numPr>
        <w:rPr>
          <w:b/>
        </w:rPr>
      </w:pPr>
      <w:r w:rsidRPr="007851E0">
        <w:rPr>
          <w:b/>
        </w:rPr>
        <w:t>However, this high periodicity is not needed in all scenarios.  Hence, the BS may not t</w:t>
      </w:r>
      <w:r w:rsidR="007851E0" w:rsidRPr="007851E0">
        <w:rPr>
          <w:b/>
        </w:rPr>
        <w:t xml:space="preserve">ransmit PBCH in some SS blocks and instead transmit </w:t>
      </w:r>
      <w:r w:rsidRPr="007851E0">
        <w:rPr>
          <w:b/>
        </w:rPr>
        <w:t>MRS</w:t>
      </w:r>
      <w:r w:rsidR="007851E0" w:rsidRPr="007851E0">
        <w:rPr>
          <w:b/>
        </w:rPr>
        <w:t>.</w:t>
      </w:r>
    </w:p>
    <w:p w14:paraId="48330105" w14:textId="4FC3E3C5" w:rsidR="007851E0" w:rsidRDefault="007851E0" w:rsidP="00AC6306">
      <w:pPr>
        <w:pStyle w:val="ListParagraph"/>
        <w:numPr>
          <w:ilvl w:val="0"/>
          <w:numId w:val="17"/>
        </w:numPr>
        <w:rPr>
          <w:b/>
        </w:rPr>
      </w:pPr>
      <w:r>
        <w:rPr>
          <w:b/>
        </w:rPr>
        <w:t>T</w:t>
      </w:r>
      <w:r w:rsidRPr="00AC6306">
        <w:rPr>
          <w:b/>
        </w:rPr>
        <w:t>wo PBCH OFDM symbols sandwiching PSS/SSS</w:t>
      </w:r>
      <w:r>
        <w:rPr>
          <w:b/>
        </w:rPr>
        <w:t xml:space="preserve"> are proposed that permit finer CFO estimation. </w:t>
      </w:r>
    </w:p>
    <w:p w14:paraId="2905CDF1" w14:textId="4B5D20E8" w:rsidR="007851E0" w:rsidRDefault="007851E0" w:rsidP="00AC6306">
      <w:pPr>
        <w:pStyle w:val="ListParagraph"/>
        <w:numPr>
          <w:ilvl w:val="0"/>
          <w:numId w:val="17"/>
        </w:numPr>
        <w:rPr>
          <w:b/>
        </w:rPr>
      </w:pPr>
      <w:r>
        <w:rPr>
          <w:b/>
        </w:rPr>
        <w:t>SSS can be repurposed to form reference for PBCH for upto 2 ports. PBCH transmission scheme is FFS.</w:t>
      </w:r>
    </w:p>
    <w:p w14:paraId="55D444B8" w14:textId="12A2A9CD" w:rsidR="007851E0" w:rsidRDefault="007851E0" w:rsidP="00AC6306">
      <w:pPr>
        <w:pStyle w:val="ListParagraph"/>
        <w:numPr>
          <w:ilvl w:val="0"/>
          <w:numId w:val="17"/>
        </w:numPr>
        <w:rPr>
          <w:b/>
        </w:rPr>
      </w:pPr>
      <w:r w:rsidRPr="00B417CB">
        <w:rPr>
          <w:b/>
        </w:rPr>
        <w:t xml:space="preserve">SS block index </w:t>
      </w:r>
      <w:r>
        <w:rPr>
          <w:b/>
        </w:rPr>
        <w:t>is conveyed in</w:t>
      </w:r>
      <w:r w:rsidRPr="00B417CB">
        <w:rPr>
          <w:b/>
        </w:rPr>
        <w:t xml:space="preserve"> PBCH while still permitting the UE to </w:t>
      </w:r>
      <w:r>
        <w:rPr>
          <w:b/>
        </w:rPr>
        <w:t xml:space="preserve">easily </w:t>
      </w:r>
      <w:r w:rsidRPr="00B417CB">
        <w:rPr>
          <w:b/>
        </w:rPr>
        <w:t>combine PBCH from different SS blocks</w:t>
      </w:r>
    </w:p>
    <w:p w14:paraId="030E079F" w14:textId="5D2E5D9F" w:rsidR="00CB7F92" w:rsidRPr="00E6531C" w:rsidRDefault="007851E0" w:rsidP="004B795C">
      <w:pPr>
        <w:pStyle w:val="ListParagraph"/>
        <w:numPr>
          <w:ilvl w:val="0"/>
          <w:numId w:val="17"/>
        </w:numPr>
        <w:rPr>
          <w:b/>
        </w:rPr>
      </w:pPr>
      <w:r w:rsidRPr="00A80B90">
        <w:rPr>
          <w:b/>
        </w:rPr>
        <w:t xml:space="preserve">Option 2 </w:t>
      </w:r>
      <w:r>
        <w:rPr>
          <w:b/>
        </w:rPr>
        <w:t xml:space="preserve">regarding PBCH content </w:t>
      </w:r>
      <w:r w:rsidRPr="00A80B90">
        <w:rPr>
          <w:b/>
        </w:rPr>
        <w:t>is realizable</w:t>
      </w:r>
      <w:r>
        <w:t>.</w:t>
      </w:r>
      <w:r w:rsidRPr="007851E0">
        <w:rPr>
          <w:b/>
        </w:rPr>
        <w:t xml:space="preserve"> Moreover, </w:t>
      </w:r>
      <w:r w:rsidRPr="00A80B90">
        <w:rPr>
          <w:b/>
        </w:rPr>
        <w:t xml:space="preserve">due </w:t>
      </w:r>
      <w:r>
        <w:rPr>
          <w:b/>
        </w:rPr>
        <w:t xml:space="preserve">to </w:t>
      </w:r>
      <w:r w:rsidRPr="00A80B90">
        <w:rPr>
          <w:b/>
        </w:rPr>
        <w:t xml:space="preserve">high available </w:t>
      </w:r>
      <w:r w:rsidR="00A304D4" w:rsidRPr="00A80B90">
        <w:rPr>
          <w:b/>
        </w:rPr>
        <w:t>periodicity</w:t>
      </w:r>
      <w:r w:rsidRPr="00A80B90">
        <w:rPr>
          <w:b/>
        </w:rPr>
        <w:t xml:space="preserve"> of PBCH, the essential information can be split over two messages</w:t>
      </w:r>
      <w:r>
        <w:t>.</w:t>
      </w:r>
    </w:p>
    <w:p w14:paraId="1A292D45" w14:textId="77777777" w:rsidR="00E6531C" w:rsidRDefault="00E6531C" w:rsidP="00E6531C">
      <w:pPr>
        <w:ind w:left="360"/>
        <w:rPr>
          <w:b/>
        </w:rPr>
      </w:pPr>
    </w:p>
    <w:p w14:paraId="55FEF917" w14:textId="77777777" w:rsidR="00E6531C" w:rsidRPr="00E6531C" w:rsidRDefault="00E6531C" w:rsidP="00E6531C">
      <w:pPr>
        <w:ind w:left="360"/>
        <w:rPr>
          <w:b/>
        </w:rPr>
      </w:pPr>
    </w:p>
    <w:p w14:paraId="72FAC6B0" w14:textId="77777777" w:rsidR="00DA7CCB" w:rsidRPr="008056DA" w:rsidRDefault="00DA7CCB" w:rsidP="00DA7CCB">
      <w:pPr>
        <w:pStyle w:val="Heading1"/>
        <w:keepNext w:val="0"/>
        <w:widowControl w:val="0"/>
        <w:tabs>
          <w:tab w:val="num" w:pos="432"/>
        </w:tabs>
        <w:autoSpaceDE/>
        <w:autoSpaceDN/>
        <w:adjustRightInd/>
        <w:snapToGrid/>
        <w:spacing w:before="240" w:after="60"/>
        <w:jc w:val="left"/>
        <w:rPr>
          <w:rFonts w:eastAsia="MS Mincho"/>
          <w:lang w:eastAsia="ja-JP"/>
        </w:rPr>
      </w:pPr>
      <w:r w:rsidRPr="002A0893">
        <w:t>References</w:t>
      </w:r>
      <w:r w:rsidRPr="002A0893">
        <w:rPr>
          <w:rFonts w:eastAsia="MS Mincho" w:hint="eastAsia"/>
          <w:lang w:eastAsia="ja-JP"/>
        </w:rPr>
        <w:t xml:space="preserve"> </w:t>
      </w:r>
    </w:p>
    <w:p w14:paraId="29A61A32" w14:textId="22CBDCEA" w:rsidR="006C5BDC" w:rsidRDefault="006C5BDC" w:rsidP="00755B49">
      <w:pPr>
        <w:rPr>
          <w:sz w:val="20"/>
          <w:szCs w:val="20"/>
          <w:lang w:eastAsia="ja-JP"/>
        </w:rPr>
      </w:pPr>
      <w:r>
        <w:rPr>
          <w:sz w:val="20"/>
          <w:szCs w:val="20"/>
          <w:lang w:eastAsia="ja-JP"/>
        </w:rPr>
        <w:t>[1] R</w:t>
      </w:r>
      <w:r w:rsidR="00755B49">
        <w:rPr>
          <w:sz w:val="20"/>
          <w:szCs w:val="20"/>
          <w:lang w:eastAsia="ja-JP"/>
        </w:rPr>
        <w:t>1-</w:t>
      </w:r>
      <w:r>
        <w:rPr>
          <w:sz w:val="20"/>
          <w:szCs w:val="20"/>
          <w:lang w:eastAsia="ja-JP"/>
        </w:rPr>
        <w:t xml:space="preserve">1610159, “Multi-beam </w:t>
      </w:r>
      <w:r w:rsidR="00755B49">
        <w:rPr>
          <w:sz w:val="20"/>
          <w:szCs w:val="20"/>
          <w:lang w:eastAsia="ja-JP"/>
        </w:rPr>
        <w:t>SYNC</w:t>
      </w:r>
      <w:r>
        <w:rPr>
          <w:sz w:val="20"/>
          <w:szCs w:val="20"/>
          <w:lang w:eastAsia="ja-JP"/>
        </w:rPr>
        <w:t xml:space="preserve"> design”, Qualcomm Inc.</w:t>
      </w:r>
    </w:p>
    <w:p w14:paraId="69750D8C" w14:textId="1699A7EA" w:rsidR="00E37B03" w:rsidRDefault="00E37B03" w:rsidP="00755B49">
      <w:pPr>
        <w:rPr>
          <w:sz w:val="20"/>
          <w:szCs w:val="20"/>
          <w:lang w:eastAsia="ja-JP"/>
        </w:rPr>
      </w:pPr>
      <w:r>
        <w:rPr>
          <w:sz w:val="20"/>
          <w:szCs w:val="20"/>
          <w:lang w:eastAsia="ja-JP"/>
        </w:rPr>
        <w:t>[2] R1-1612024, “Multi-beam SYNC design”, Qualcomm Inc.</w:t>
      </w:r>
    </w:p>
    <w:p w14:paraId="4E3440B0" w14:textId="0E2D635D" w:rsidR="00755B49" w:rsidRDefault="009875DF" w:rsidP="00B6571B">
      <w:pPr>
        <w:rPr>
          <w:sz w:val="20"/>
          <w:szCs w:val="20"/>
          <w:lang w:eastAsia="ja-JP"/>
        </w:rPr>
      </w:pPr>
      <w:r>
        <w:rPr>
          <w:sz w:val="20"/>
          <w:szCs w:val="20"/>
          <w:lang w:eastAsia="ja-JP"/>
        </w:rPr>
        <w:t>[3</w:t>
      </w:r>
      <w:r w:rsidR="00755B49">
        <w:rPr>
          <w:sz w:val="20"/>
          <w:szCs w:val="20"/>
          <w:lang w:eastAsia="ja-JP"/>
        </w:rPr>
        <w:t>] R1-1612025, “Multi-beam SYNC evaluation”, Qualcomm Inc.</w:t>
      </w:r>
    </w:p>
    <w:p w14:paraId="55D4F2A4" w14:textId="6C522B7A" w:rsidR="00487836" w:rsidRDefault="009E5E61" w:rsidP="00B6571B">
      <w:pPr>
        <w:rPr>
          <w:sz w:val="20"/>
          <w:szCs w:val="20"/>
          <w:lang w:eastAsia="ja-JP"/>
        </w:rPr>
      </w:pPr>
      <w:r>
        <w:rPr>
          <w:sz w:val="20"/>
          <w:szCs w:val="20"/>
          <w:lang w:eastAsia="ja-JP"/>
        </w:rPr>
        <w:t>[</w:t>
      </w:r>
      <w:r w:rsidR="009875DF">
        <w:rPr>
          <w:sz w:val="20"/>
          <w:szCs w:val="20"/>
          <w:lang w:eastAsia="ja-JP"/>
        </w:rPr>
        <w:t>4</w:t>
      </w:r>
      <w:r w:rsidR="00DA7465">
        <w:rPr>
          <w:sz w:val="20"/>
          <w:szCs w:val="20"/>
          <w:lang w:eastAsia="ja-JP"/>
        </w:rPr>
        <w:t>] R1-1612026, “Multiplexing of waveforms of sync”, Qualcomm Inc.</w:t>
      </w:r>
    </w:p>
    <w:p w14:paraId="0C1B183F" w14:textId="591E1309" w:rsidR="00DA7CCB" w:rsidRDefault="002F01A2" w:rsidP="002A7369">
      <w:pPr>
        <w:rPr>
          <w:sz w:val="20"/>
          <w:szCs w:val="20"/>
          <w:lang w:eastAsia="ja-JP"/>
        </w:rPr>
      </w:pPr>
      <w:r>
        <w:rPr>
          <w:sz w:val="20"/>
          <w:szCs w:val="20"/>
          <w:lang w:eastAsia="ja-JP"/>
        </w:rPr>
        <w:t>[</w:t>
      </w:r>
      <w:r w:rsidR="009875DF">
        <w:rPr>
          <w:sz w:val="20"/>
          <w:szCs w:val="20"/>
          <w:lang w:eastAsia="ja-JP"/>
        </w:rPr>
        <w:t>5</w:t>
      </w:r>
      <w:r>
        <w:rPr>
          <w:sz w:val="20"/>
          <w:szCs w:val="20"/>
          <w:lang w:eastAsia="ja-JP"/>
        </w:rPr>
        <w:t>] R1-166384, “Initial access in millimeter wave systems”, Qualcomm Inc.</w:t>
      </w:r>
    </w:p>
    <w:p w14:paraId="2348A1F4" w14:textId="64ABD320" w:rsidR="00A21ABF" w:rsidRDefault="00A21ABF" w:rsidP="002A7369">
      <w:pPr>
        <w:rPr>
          <w:sz w:val="20"/>
          <w:szCs w:val="20"/>
          <w:lang w:eastAsia="ja-JP"/>
        </w:rPr>
      </w:pPr>
      <w:r>
        <w:rPr>
          <w:sz w:val="20"/>
          <w:szCs w:val="20"/>
          <w:lang w:eastAsia="ja-JP"/>
        </w:rPr>
        <w:t>[</w:t>
      </w:r>
      <w:r w:rsidR="009875DF">
        <w:rPr>
          <w:sz w:val="20"/>
          <w:szCs w:val="20"/>
          <w:lang w:eastAsia="ja-JP"/>
        </w:rPr>
        <w:t>6</w:t>
      </w:r>
      <w:r>
        <w:rPr>
          <w:sz w:val="20"/>
          <w:szCs w:val="20"/>
          <w:lang w:eastAsia="ja-JP"/>
        </w:rPr>
        <w:t>] R1-1612034, “</w:t>
      </w:r>
      <w:r w:rsidRPr="00A21ABF">
        <w:rPr>
          <w:sz w:val="20"/>
          <w:szCs w:val="20"/>
          <w:lang w:eastAsia="ja-JP"/>
        </w:rPr>
        <w:t>Conveying symbol index during multi-beam SYNC</w:t>
      </w:r>
      <w:r>
        <w:rPr>
          <w:sz w:val="20"/>
          <w:szCs w:val="20"/>
          <w:lang w:eastAsia="ja-JP"/>
        </w:rPr>
        <w:t>”, Qualcomm Inc.</w:t>
      </w:r>
    </w:p>
    <w:p w14:paraId="019C6FAE" w14:textId="77777777" w:rsidR="00E37B03" w:rsidRDefault="00E37B03" w:rsidP="002A7369">
      <w:pPr>
        <w:rPr>
          <w:sz w:val="20"/>
          <w:szCs w:val="20"/>
          <w:lang w:eastAsia="ja-JP"/>
        </w:rPr>
      </w:pPr>
    </w:p>
    <w:sectPr w:rsidR="00E37B03" w:rsidSect="00CB47E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7F1C5" w14:textId="77777777" w:rsidR="00CD5F51" w:rsidRDefault="00CD5F51" w:rsidP="00D37EDB">
      <w:pPr>
        <w:spacing w:after="0"/>
      </w:pPr>
      <w:r>
        <w:separator/>
      </w:r>
    </w:p>
  </w:endnote>
  <w:endnote w:type="continuationSeparator" w:id="0">
    <w:p w14:paraId="0646FF14" w14:textId="77777777" w:rsidR="00CD5F51" w:rsidRDefault="00CD5F51" w:rsidP="00D37E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8DCE8" w14:textId="77777777" w:rsidR="00CD5F51" w:rsidRDefault="00CD5F51" w:rsidP="00D37EDB">
      <w:pPr>
        <w:spacing w:after="0"/>
      </w:pPr>
      <w:r>
        <w:separator/>
      </w:r>
    </w:p>
  </w:footnote>
  <w:footnote w:type="continuationSeparator" w:id="0">
    <w:p w14:paraId="7EECD30A" w14:textId="77777777" w:rsidR="00CD5F51" w:rsidRDefault="00CD5F51" w:rsidP="00D37ED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4136"/>
    <w:multiLevelType w:val="hybridMultilevel"/>
    <w:tmpl w:val="E33C2A9C"/>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CF3A5E"/>
    <w:multiLevelType w:val="hybridMultilevel"/>
    <w:tmpl w:val="DD78D68E"/>
    <w:lvl w:ilvl="0" w:tplc="84D6AC34">
      <w:start w:val="1"/>
      <w:numFmt w:val="bullet"/>
      <w:lvlText w:val="•"/>
      <w:lvlJc w:val="left"/>
      <w:pPr>
        <w:tabs>
          <w:tab w:val="num" w:pos="720"/>
        </w:tabs>
        <w:ind w:left="720" w:hanging="360"/>
      </w:pPr>
      <w:rPr>
        <w:rFonts w:ascii="Arial" w:hAnsi="Arial" w:hint="default"/>
      </w:rPr>
    </w:lvl>
    <w:lvl w:ilvl="1" w:tplc="BD88BECC">
      <w:start w:val="63"/>
      <w:numFmt w:val="bullet"/>
      <w:lvlText w:val="−"/>
      <w:lvlJc w:val="left"/>
      <w:pPr>
        <w:tabs>
          <w:tab w:val="num" w:pos="1440"/>
        </w:tabs>
        <w:ind w:left="1440" w:hanging="360"/>
      </w:pPr>
      <w:rPr>
        <w:rFonts w:ascii="Calibre Regular" w:hAnsi="Calibre Regular" w:hint="default"/>
      </w:rPr>
    </w:lvl>
    <w:lvl w:ilvl="2" w:tplc="50983108">
      <w:start w:val="63"/>
      <w:numFmt w:val="bullet"/>
      <w:lvlText w:val="−"/>
      <w:lvlJc w:val="left"/>
      <w:pPr>
        <w:tabs>
          <w:tab w:val="num" w:pos="2160"/>
        </w:tabs>
        <w:ind w:left="2160" w:hanging="360"/>
      </w:pPr>
      <w:rPr>
        <w:rFonts w:ascii="Calibre Regular" w:hAnsi="Calibre Regular" w:hint="default"/>
      </w:rPr>
    </w:lvl>
    <w:lvl w:ilvl="3" w:tplc="7346C42C" w:tentative="1">
      <w:start w:val="1"/>
      <w:numFmt w:val="bullet"/>
      <w:lvlText w:val="•"/>
      <w:lvlJc w:val="left"/>
      <w:pPr>
        <w:tabs>
          <w:tab w:val="num" w:pos="2880"/>
        </w:tabs>
        <w:ind w:left="2880" w:hanging="360"/>
      </w:pPr>
      <w:rPr>
        <w:rFonts w:ascii="Arial" w:hAnsi="Arial" w:hint="default"/>
      </w:rPr>
    </w:lvl>
    <w:lvl w:ilvl="4" w:tplc="7AFC7E60" w:tentative="1">
      <w:start w:val="1"/>
      <w:numFmt w:val="bullet"/>
      <w:lvlText w:val="•"/>
      <w:lvlJc w:val="left"/>
      <w:pPr>
        <w:tabs>
          <w:tab w:val="num" w:pos="3600"/>
        </w:tabs>
        <w:ind w:left="3600" w:hanging="360"/>
      </w:pPr>
      <w:rPr>
        <w:rFonts w:ascii="Arial" w:hAnsi="Arial" w:hint="default"/>
      </w:rPr>
    </w:lvl>
    <w:lvl w:ilvl="5" w:tplc="C42C5E0C" w:tentative="1">
      <w:start w:val="1"/>
      <w:numFmt w:val="bullet"/>
      <w:lvlText w:val="•"/>
      <w:lvlJc w:val="left"/>
      <w:pPr>
        <w:tabs>
          <w:tab w:val="num" w:pos="4320"/>
        </w:tabs>
        <w:ind w:left="4320" w:hanging="360"/>
      </w:pPr>
      <w:rPr>
        <w:rFonts w:ascii="Arial" w:hAnsi="Arial" w:hint="default"/>
      </w:rPr>
    </w:lvl>
    <w:lvl w:ilvl="6" w:tplc="7CFC2D96" w:tentative="1">
      <w:start w:val="1"/>
      <w:numFmt w:val="bullet"/>
      <w:lvlText w:val="•"/>
      <w:lvlJc w:val="left"/>
      <w:pPr>
        <w:tabs>
          <w:tab w:val="num" w:pos="5040"/>
        </w:tabs>
        <w:ind w:left="5040" w:hanging="360"/>
      </w:pPr>
      <w:rPr>
        <w:rFonts w:ascii="Arial" w:hAnsi="Arial" w:hint="default"/>
      </w:rPr>
    </w:lvl>
    <w:lvl w:ilvl="7" w:tplc="204ED80C" w:tentative="1">
      <w:start w:val="1"/>
      <w:numFmt w:val="bullet"/>
      <w:lvlText w:val="•"/>
      <w:lvlJc w:val="left"/>
      <w:pPr>
        <w:tabs>
          <w:tab w:val="num" w:pos="5760"/>
        </w:tabs>
        <w:ind w:left="5760" w:hanging="360"/>
      </w:pPr>
      <w:rPr>
        <w:rFonts w:ascii="Arial" w:hAnsi="Arial" w:hint="default"/>
      </w:rPr>
    </w:lvl>
    <w:lvl w:ilvl="8" w:tplc="D540BA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7D0EEB"/>
    <w:multiLevelType w:val="hybridMultilevel"/>
    <w:tmpl w:val="79D0A55A"/>
    <w:lvl w:ilvl="0" w:tplc="97703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AA7233"/>
    <w:multiLevelType w:val="hybridMultilevel"/>
    <w:tmpl w:val="B6DA800C"/>
    <w:lvl w:ilvl="0" w:tplc="E57687BA">
      <w:start w:val="1"/>
      <w:numFmt w:val="bullet"/>
      <w:lvlText w:val="•"/>
      <w:lvlJc w:val="left"/>
      <w:pPr>
        <w:tabs>
          <w:tab w:val="num" w:pos="720"/>
        </w:tabs>
        <w:ind w:left="720" w:hanging="360"/>
      </w:pPr>
      <w:rPr>
        <w:rFonts w:ascii="Arial" w:hAnsi="Arial" w:hint="default"/>
      </w:rPr>
    </w:lvl>
    <w:lvl w:ilvl="1" w:tplc="8978597E">
      <w:start w:val="63"/>
      <w:numFmt w:val="bullet"/>
      <w:lvlText w:val="−"/>
      <w:lvlJc w:val="left"/>
      <w:pPr>
        <w:tabs>
          <w:tab w:val="num" w:pos="1440"/>
        </w:tabs>
        <w:ind w:left="1440" w:hanging="360"/>
      </w:pPr>
      <w:rPr>
        <w:rFonts w:ascii="Calibre Regular" w:hAnsi="Calibre Regular" w:hint="default"/>
      </w:rPr>
    </w:lvl>
    <w:lvl w:ilvl="2" w:tplc="9DE84C1C">
      <w:start w:val="63"/>
      <w:numFmt w:val="bullet"/>
      <w:lvlText w:val="−"/>
      <w:lvlJc w:val="left"/>
      <w:pPr>
        <w:tabs>
          <w:tab w:val="num" w:pos="2160"/>
        </w:tabs>
        <w:ind w:left="2160" w:hanging="360"/>
      </w:pPr>
      <w:rPr>
        <w:rFonts w:ascii="Calibre Regular" w:hAnsi="Calibre Regular" w:hint="default"/>
      </w:rPr>
    </w:lvl>
    <w:lvl w:ilvl="3" w:tplc="5AFA850C">
      <w:start w:val="63"/>
      <w:numFmt w:val="bullet"/>
      <w:lvlText w:val="−"/>
      <w:lvlJc w:val="left"/>
      <w:pPr>
        <w:tabs>
          <w:tab w:val="num" w:pos="2880"/>
        </w:tabs>
        <w:ind w:left="2880" w:hanging="360"/>
      </w:pPr>
      <w:rPr>
        <w:rFonts w:ascii="Calibre Regular" w:hAnsi="Calibre Regular" w:hint="default"/>
      </w:rPr>
    </w:lvl>
    <w:lvl w:ilvl="4" w:tplc="9934E770" w:tentative="1">
      <w:start w:val="1"/>
      <w:numFmt w:val="bullet"/>
      <w:lvlText w:val="•"/>
      <w:lvlJc w:val="left"/>
      <w:pPr>
        <w:tabs>
          <w:tab w:val="num" w:pos="3600"/>
        </w:tabs>
        <w:ind w:left="3600" w:hanging="360"/>
      </w:pPr>
      <w:rPr>
        <w:rFonts w:ascii="Arial" w:hAnsi="Arial" w:hint="default"/>
      </w:rPr>
    </w:lvl>
    <w:lvl w:ilvl="5" w:tplc="7572FA28" w:tentative="1">
      <w:start w:val="1"/>
      <w:numFmt w:val="bullet"/>
      <w:lvlText w:val="•"/>
      <w:lvlJc w:val="left"/>
      <w:pPr>
        <w:tabs>
          <w:tab w:val="num" w:pos="4320"/>
        </w:tabs>
        <w:ind w:left="4320" w:hanging="360"/>
      </w:pPr>
      <w:rPr>
        <w:rFonts w:ascii="Arial" w:hAnsi="Arial" w:hint="default"/>
      </w:rPr>
    </w:lvl>
    <w:lvl w:ilvl="6" w:tplc="756AEE76" w:tentative="1">
      <w:start w:val="1"/>
      <w:numFmt w:val="bullet"/>
      <w:lvlText w:val="•"/>
      <w:lvlJc w:val="left"/>
      <w:pPr>
        <w:tabs>
          <w:tab w:val="num" w:pos="5040"/>
        </w:tabs>
        <w:ind w:left="5040" w:hanging="360"/>
      </w:pPr>
      <w:rPr>
        <w:rFonts w:ascii="Arial" w:hAnsi="Arial" w:hint="default"/>
      </w:rPr>
    </w:lvl>
    <w:lvl w:ilvl="7" w:tplc="A5089FF0" w:tentative="1">
      <w:start w:val="1"/>
      <w:numFmt w:val="bullet"/>
      <w:lvlText w:val="•"/>
      <w:lvlJc w:val="left"/>
      <w:pPr>
        <w:tabs>
          <w:tab w:val="num" w:pos="5760"/>
        </w:tabs>
        <w:ind w:left="5760" w:hanging="360"/>
      </w:pPr>
      <w:rPr>
        <w:rFonts w:ascii="Arial" w:hAnsi="Arial" w:hint="default"/>
      </w:rPr>
    </w:lvl>
    <w:lvl w:ilvl="8" w:tplc="4EA0B4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4AA201D"/>
    <w:multiLevelType w:val="hybridMultilevel"/>
    <w:tmpl w:val="385C7ABA"/>
    <w:lvl w:ilvl="0" w:tplc="F454F4A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E36C12"/>
    <w:multiLevelType w:val="hybridMultilevel"/>
    <w:tmpl w:val="69569048"/>
    <w:lvl w:ilvl="0" w:tplc="A6161874">
      <w:start w:val="1"/>
      <w:numFmt w:val="bullet"/>
      <w:lvlText w:val="o"/>
      <w:lvlJc w:val="left"/>
      <w:pPr>
        <w:tabs>
          <w:tab w:val="num" w:pos="720"/>
        </w:tabs>
        <w:ind w:left="720" w:hanging="360"/>
      </w:pPr>
      <w:rPr>
        <w:rFonts w:ascii="Courier New" w:hAnsi="Courier New" w:hint="default"/>
      </w:rPr>
    </w:lvl>
    <w:lvl w:ilvl="1" w:tplc="6936C998">
      <w:start w:val="49"/>
      <w:numFmt w:val="bullet"/>
      <w:lvlText w:val="o"/>
      <w:lvlJc w:val="left"/>
      <w:pPr>
        <w:tabs>
          <w:tab w:val="num" w:pos="1440"/>
        </w:tabs>
        <w:ind w:left="1440" w:hanging="360"/>
      </w:pPr>
      <w:rPr>
        <w:rFonts w:ascii="Courier New" w:hAnsi="Courier New" w:hint="default"/>
      </w:rPr>
    </w:lvl>
    <w:lvl w:ilvl="2" w:tplc="6266834C" w:tentative="1">
      <w:start w:val="1"/>
      <w:numFmt w:val="bullet"/>
      <w:lvlText w:val="o"/>
      <w:lvlJc w:val="left"/>
      <w:pPr>
        <w:tabs>
          <w:tab w:val="num" w:pos="2160"/>
        </w:tabs>
        <w:ind w:left="2160" w:hanging="360"/>
      </w:pPr>
      <w:rPr>
        <w:rFonts w:ascii="Courier New" w:hAnsi="Courier New" w:hint="default"/>
      </w:rPr>
    </w:lvl>
    <w:lvl w:ilvl="3" w:tplc="5BA67400" w:tentative="1">
      <w:start w:val="1"/>
      <w:numFmt w:val="bullet"/>
      <w:lvlText w:val="o"/>
      <w:lvlJc w:val="left"/>
      <w:pPr>
        <w:tabs>
          <w:tab w:val="num" w:pos="2880"/>
        </w:tabs>
        <w:ind w:left="2880" w:hanging="360"/>
      </w:pPr>
      <w:rPr>
        <w:rFonts w:ascii="Courier New" w:hAnsi="Courier New" w:hint="default"/>
      </w:rPr>
    </w:lvl>
    <w:lvl w:ilvl="4" w:tplc="B2482640" w:tentative="1">
      <w:start w:val="1"/>
      <w:numFmt w:val="bullet"/>
      <w:lvlText w:val="o"/>
      <w:lvlJc w:val="left"/>
      <w:pPr>
        <w:tabs>
          <w:tab w:val="num" w:pos="3600"/>
        </w:tabs>
        <w:ind w:left="3600" w:hanging="360"/>
      </w:pPr>
      <w:rPr>
        <w:rFonts w:ascii="Courier New" w:hAnsi="Courier New" w:hint="default"/>
      </w:rPr>
    </w:lvl>
    <w:lvl w:ilvl="5" w:tplc="CC660D4C" w:tentative="1">
      <w:start w:val="1"/>
      <w:numFmt w:val="bullet"/>
      <w:lvlText w:val="o"/>
      <w:lvlJc w:val="left"/>
      <w:pPr>
        <w:tabs>
          <w:tab w:val="num" w:pos="4320"/>
        </w:tabs>
        <w:ind w:left="4320" w:hanging="360"/>
      </w:pPr>
      <w:rPr>
        <w:rFonts w:ascii="Courier New" w:hAnsi="Courier New" w:hint="default"/>
      </w:rPr>
    </w:lvl>
    <w:lvl w:ilvl="6" w:tplc="5C0A50A4" w:tentative="1">
      <w:start w:val="1"/>
      <w:numFmt w:val="bullet"/>
      <w:lvlText w:val="o"/>
      <w:lvlJc w:val="left"/>
      <w:pPr>
        <w:tabs>
          <w:tab w:val="num" w:pos="5040"/>
        </w:tabs>
        <w:ind w:left="5040" w:hanging="360"/>
      </w:pPr>
      <w:rPr>
        <w:rFonts w:ascii="Courier New" w:hAnsi="Courier New" w:hint="default"/>
      </w:rPr>
    </w:lvl>
    <w:lvl w:ilvl="7" w:tplc="F4146A98" w:tentative="1">
      <w:start w:val="1"/>
      <w:numFmt w:val="bullet"/>
      <w:lvlText w:val="o"/>
      <w:lvlJc w:val="left"/>
      <w:pPr>
        <w:tabs>
          <w:tab w:val="num" w:pos="5760"/>
        </w:tabs>
        <w:ind w:left="5760" w:hanging="360"/>
      </w:pPr>
      <w:rPr>
        <w:rFonts w:ascii="Courier New" w:hAnsi="Courier New" w:hint="default"/>
      </w:rPr>
    </w:lvl>
    <w:lvl w:ilvl="8" w:tplc="AC04C4D0"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7066620"/>
    <w:multiLevelType w:val="hybridMultilevel"/>
    <w:tmpl w:val="32ECFF98"/>
    <w:lvl w:ilvl="0" w:tplc="C960E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9C3D6A"/>
    <w:multiLevelType w:val="hybridMultilevel"/>
    <w:tmpl w:val="735C008C"/>
    <w:lvl w:ilvl="0" w:tplc="5BF439BC">
      <w:start w:val="1"/>
      <w:numFmt w:val="bullet"/>
      <w:lvlText w:val="•"/>
      <w:lvlJc w:val="left"/>
      <w:pPr>
        <w:tabs>
          <w:tab w:val="num" w:pos="720"/>
        </w:tabs>
        <w:ind w:left="720" w:hanging="360"/>
      </w:pPr>
      <w:rPr>
        <w:rFonts w:ascii="Arial" w:hAnsi="Arial" w:hint="default"/>
      </w:rPr>
    </w:lvl>
    <w:lvl w:ilvl="1" w:tplc="6122F4A4">
      <w:start w:val="63"/>
      <w:numFmt w:val="bullet"/>
      <w:lvlText w:val="−"/>
      <w:lvlJc w:val="left"/>
      <w:pPr>
        <w:tabs>
          <w:tab w:val="num" w:pos="1440"/>
        </w:tabs>
        <w:ind w:left="1440" w:hanging="360"/>
      </w:pPr>
      <w:rPr>
        <w:rFonts w:ascii="Calibre Regular" w:hAnsi="Calibre Regular" w:hint="default"/>
      </w:rPr>
    </w:lvl>
    <w:lvl w:ilvl="2" w:tplc="F7F8A746" w:tentative="1">
      <w:start w:val="1"/>
      <w:numFmt w:val="bullet"/>
      <w:lvlText w:val="•"/>
      <w:lvlJc w:val="left"/>
      <w:pPr>
        <w:tabs>
          <w:tab w:val="num" w:pos="2160"/>
        </w:tabs>
        <w:ind w:left="2160" w:hanging="360"/>
      </w:pPr>
      <w:rPr>
        <w:rFonts w:ascii="Arial" w:hAnsi="Arial" w:hint="default"/>
      </w:rPr>
    </w:lvl>
    <w:lvl w:ilvl="3" w:tplc="A1301F6E" w:tentative="1">
      <w:start w:val="1"/>
      <w:numFmt w:val="bullet"/>
      <w:lvlText w:val="•"/>
      <w:lvlJc w:val="left"/>
      <w:pPr>
        <w:tabs>
          <w:tab w:val="num" w:pos="2880"/>
        </w:tabs>
        <w:ind w:left="2880" w:hanging="360"/>
      </w:pPr>
      <w:rPr>
        <w:rFonts w:ascii="Arial" w:hAnsi="Arial" w:hint="default"/>
      </w:rPr>
    </w:lvl>
    <w:lvl w:ilvl="4" w:tplc="0F9C23B2" w:tentative="1">
      <w:start w:val="1"/>
      <w:numFmt w:val="bullet"/>
      <w:lvlText w:val="•"/>
      <w:lvlJc w:val="left"/>
      <w:pPr>
        <w:tabs>
          <w:tab w:val="num" w:pos="3600"/>
        </w:tabs>
        <w:ind w:left="3600" w:hanging="360"/>
      </w:pPr>
      <w:rPr>
        <w:rFonts w:ascii="Arial" w:hAnsi="Arial" w:hint="default"/>
      </w:rPr>
    </w:lvl>
    <w:lvl w:ilvl="5" w:tplc="EDF69EE0" w:tentative="1">
      <w:start w:val="1"/>
      <w:numFmt w:val="bullet"/>
      <w:lvlText w:val="•"/>
      <w:lvlJc w:val="left"/>
      <w:pPr>
        <w:tabs>
          <w:tab w:val="num" w:pos="4320"/>
        </w:tabs>
        <w:ind w:left="4320" w:hanging="360"/>
      </w:pPr>
      <w:rPr>
        <w:rFonts w:ascii="Arial" w:hAnsi="Arial" w:hint="default"/>
      </w:rPr>
    </w:lvl>
    <w:lvl w:ilvl="6" w:tplc="66100900" w:tentative="1">
      <w:start w:val="1"/>
      <w:numFmt w:val="bullet"/>
      <w:lvlText w:val="•"/>
      <w:lvlJc w:val="left"/>
      <w:pPr>
        <w:tabs>
          <w:tab w:val="num" w:pos="5040"/>
        </w:tabs>
        <w:ind w:left="5040" w:hanging="360"/>
      </w:pPr>
      <w:rPr>
        <w:rFonts w:ascii="Arial" w:hAnsi="Arial" w:hint="default"/>
      </w:rPr>
    </w:lvl>
    <w:lvl w:ilvl="7" w:tplc="A8569E7A" w:tentative="1">
      <w:start w:val="1"/>
      <w:numFmt w:val="bullet"/>
      <w:lvlText w:val="•"/>
      <w:lvlJc w:val="left"/>
      <w:pPr>
        <w:tabs>
          <w:tab w:val="num" w:pos="5760"/>
        </w:tabs>
        <w:ind w:left="5760" w:hanging="360"/>
      </w:pPr>
      <w:rPr>
        <w:rFonts w:ascii="Arial" w:hAnsi="Arial" w:hint="default"/>
      </w:rPr>
    </w:lvl>
    <w:lvl w:ilvl="8" w:tplc="5A2EF8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9B65E6"/>
    <w:multiLevelType w:val="hybridMultilevel"/>
    <w:tmpl w:val="19B45772"/>
    <w:lvl w:ilvl="0" w:tplc="43CAFE1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9F1978"/>
    <w:multiLevelType w:val="hybridMultilevel"/>
    <w:tmpl w:val="6CAED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180FAF"/>
    <w:multiLevelType w:val="hybridMultilevel"/>
    <w:tmpl w:val="E0444C88"/>
    <w:lvl w:ilvl="0" w:tplc="6F963F02">
      <w:start w:val="1"/>
      <w:numFmt w:val="bullet"/>
      <w:lvlText w:val="−"/>
      <w:lvlJc w:val="left"/>
      <w:pPr>
        <w:tabs>
          <w:tab w:val="num" w:pos="720"/>
        </w:tabs>
        <w:ind w:left="720" w:hanging="360"/>
      </w:pPr>
      <w:rPr>
        <w:rFonts w:ascii="Calibre Regular" w:hAnsi="Calibre Regular" w:hint="default"/>
      </w:rPr>
    </w:lvl>
    <w:lvl w:ilvl="1" w:tplc="A8BE06C4">
      <w:start w:val="1"/>
      <w:numFmt w:val="bullet"/>
      <w:lvlText w:val="−"/>
      <w:lvlJc w:val="left"/>
      <w:pPr>
        <w:tabs>
          <w:tab w:val="num" w:pos="1440"/>
        </w:tabs>
        <w:ind w:left="1440" w:hanging="360"/>
      </w:pPr>
      <w:rPr>
        <w:rFonts w:ascii="Calibre Regular" w:hAnsi="Calibre Regular" w:hint="default"/>
      </w:rPr>
    </w:lvl>
    <w:lvl w:ilvl="2" w:tplc="09FE9328">
      <w:start w:val="45"/>
      <w:numFmt w:val="bullet"/>
      <w:lvlText w:val="−"/>
      <w:lvlJc w:val="left"/>
      <w:pPr>
        <w:tabs>
          <w:tab w:val="num" w:pos="2160"/>
        </w:tabs>
        <w:ind w:left="2160" w:hanging="360"/>
      </w:pPr>
      <w:rPr>
        <w:rFonts w:ascii="Calibre Regular" w:hAnsi="Calibre Regular" w:hint="default"/>
      </w:rPr>
    </w:lvl>
    <w:lvl w:ilvl="3" w:tplc="CC206EB4" w:tentative="1">
      <w:start w:val="1"/>
      <w:numFmt w:val="bullet"/>
      <w:lvlText w:val="−"/>
      <w:lvlJc w:val="left"/>
      <w:pPr>
        <w:tabs>
          <w:tab w:val="num" w:pos="2880"/>
        </w:tabs>
        <w:ind w:left="2880" w:hanging="360"/>
      </w:pPr>
      <w:rPr>
        <w:rFonts w:ascii="Calibre Regular" w:hAnsi="Calibre Regular" w:hint="default"/>
      </w:rPr>
    </w:lvl>
    <w:lvl w:ilvl="4" w:tplc="8852270A" w:tentative="1">
      <w:start w:val="1"/>
      <w:numFmt w:val="bullet"/>
      <w:lvlText w:val="−"/>
      <w:lvlJc w:val="left"/>
      <w:pPr>
        <w:tabs>
          <w:tab w:val="num" w:pos="3600"/>
        </w:tabs>
        <w:ind w:left="3600" w:hanging="360"/>
      </w:pPr>
      <w:rPr>
        <w:rFonts w:ascii="Calibre Regular" w:hAnsi="Calibre Regular" w:hint="default"/>
      </w:rPr>
    </w:lvl>
    <w:lvl w:ilvl="5" w:tplc="220EF99A" w:tentative="1">
      <w:start w:val="1"/>
      <w:numFmt w:val="bullet"/>
      <w:lvlText w:val="−"/>
      <w:lvlJc w:val="left"/>
      <w:pPr>
        <w:tabs>
          <w:tab w:val="num" w:pos="4320"/>
        </w:tabs>
        <w:ind w:left="4320" w:hanging="360"/>
      </w:pPr>
      <w:rPr>
        <w:rFonts w:ascii="Calibre Regular" w:hAnsi="Calibre Regular" w:hint="default"/>
      </w:rPr>
    </w:lvl>
    <w:lvl w:ilvl="6" w:tplc="0C4E4894" w:tentative="1">
      <w:start w:val="1"/>
      <w:numFmt w:val="bullet"/>
      <w:lvlText w:val="−"/>
      <w:lvlJc w:val="left"/>
      <w:pPr>
        <w:tabs>
          <w:tab w:val="num" w:pos="5040"/>
        </w:tabs>
        <w:ind w:left="5040" w:hanging="360"/>
      </w:pPr>
      <w:rPr>
        <w:rFonts w:ascii="Calibre Regular" w:hAnsi="Calibre Regular" w:hint="default"/>
      </w:rPr>
    </w:lvl>
    <w:lvl w:ilvl="7" w:tplc="E0CEED5C" w:tentative="1">
      <w:start w:val="1"/>
      <w:numFmt w:val="bullet"/>
      <w:lvlText w:val="−"/>
      <w:lvlJc w:val="left"/>
      <w:pPr>
        <w:tabs>
          <w:tab w:val="num" w:pos="5760"/>
        </w:tabs>
        <w:ind w:left="5760" w:hanging="360"/>
      </w:pPr>
      <w:rPr>
        <w:rFonts w:ascii="Calibre Regular" w:hAnsi="Calibre Regular" w:hint="default"/>
      </w:rPr>
    </w:lvl>
    <w:lvl w:ilvl="8" w:tplc="65D62956" w:tentative="1">
      <w:start w:val="1"/>
      <w:numFmt w:val="bullet"/>
      <w:lvlText w:val="−"/>
      <w:lvlJc w:val="left"/>
      <w:pPr>
        <w:tabs>
          <w:tab w:val="num" w:pos="6480"/>
        </w:tabs>
        <w:ind w:left="6480" w:hanging="360"/>
      </w:pPr>
      <w:rPr>
        <w:rFonts w:ascii="Calibre Regular" w:hAnsi="Calibre Regular" w:hint="default"/>
      </w:rPr>
    </w:lvl>
  </w:abstractNum>
  <w:abstractNum w:abstractNumId="12"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650114BF"/>
    <w:multiLevelType w:val="hybridMultilevel"/>
    <w:tmpl w:val="3806C1B6"/>
    <w:lvl w:ilvl="0" w:tplc="0B2C16B8">
      <w:start w:val="1"/>
      <w:numFmt w:val="bullet"/>
      <w:lvlText w:val="•"/>
      <w:lvlJc w:val="left"/>
      <w:pPr>
        <w:tabs>
          <w:tab w:val="num" w:pos="720"/>
        </w:tabs>
        <w:ind w:left="720" w:hanging="360"/>
      </w:pPr>
      <w:rPr>
        <w:rFonts w:ascii="Arial" w:hAnsi="Arial" w:hint="default"/>
      </w:rPr>
    </w:lvl>
    <w:lvl w:ilvl="1" w:tplc="EA84644E">
      <w:start w:val="63"/>
      <w:numFmt w:val="bullet"/>
      <w:lvlText w:val="−"/>
      <w:lvlJc w:val="left"/>
      <w:pPr>
        <w:tabs>
          <w:tab w:val="num" w:pos="1440"/>
        </w:tabs>
        <w:ind w:left="1440" w:hanging="360"/>
      </w:pPr>
      <w:rPr>
        <w:rFonts w:ascii="Calibre Regular" w:hAnsi="Calibre Regular" w:hint="default"/>
      </w:rPr>
    </w:lvl>
    <w:lvl w:ilvl="2" w:tplc="62CA3A94">
      <w:start w:val="63"/>
      <w:numFmt w:val="bullet"/>
      <w:lvlText w:val="−"/>
      <w:lvlJc w:val="left"/>
      <w:pPr>
        <w:tabs>
          <w:tab w:val="num" w:pos="2160"/>
        </w:tabs>
        <w:ind w:left="2160" w:hanging="360"/>
      </w:pPr>
      <w:rPr>
        <w:rFonts w:ascii="Calibre Regular" w:hAnsi="Calibre Regular" w:hint="default"/>
      </w:rPr>
    </w:lvl>
    <w:lvl w:ilvl="3" w:tplc="8A02F23A" w:tentative="1">
      <w:start w:val="1"/>
      <w:numFmt w:val="bullet"/>
      <w:lvlText w:val="•"/>
      <w:lvlJc w:val="left"/>
      <w:pPr>
        <w:tabs>
          <w:tab w:val="num" w:pos="2880"/>
        </w:tabs>
        <w:ind w:left="2880" w:hanging="360"/>
      </w:pPr>
      <w:rPr>
        <w:rFonts w:ascii="Arial" w:hAnsi="Arial" w:hint="default"/>
      </w:rPr>
    </w:lvl>
    <w:lvl w:ilvl="4" w:tplc="3182AF0C" w:tentative="1">
      <w:start w:val="1"/>
      <w:numFmt w:val="bullet"/>
      <w:lvlText w:val="•"/>
      <w:lvlJc w:val="left"/>
      <w:pPr>
        <w:tabs>
          <w:tab w:val="num" w:pos="3600"/>
        </w:tabs>
        <w:ind w:left="3600" w:hanging="360"/>
      </w:pPr>
      <w:rPr>
        <w:rFonts w:ascii="Arial" w:hAnsi="Arial" w:hint="default"/>
      </w:rPr>
    </w:lvl>
    <w:lvl w:ilvl="5" w:tplc="E39EE46A" w:tentative="1">
      <w:start w:val="1"/>
      <w:numFmt w:val="bullet"/>
      <w:lvlText w:val="•"/>
      <w:lvlJc w:val="left"/>
      <w:pPr>
        <w:tabs>
          <w:tab w:val="num" w:pos="4320"/>
        </w:tabs>
        <w:ind w:left="4320" w:hanging="360"/>
      </w:pPr>
      <w:rPr>
        <w:rFonts w:ascii="Arial" w:hAnsi="Arial" w:hint="default"/>
      </w:rPr>
    </w:lvl>
    <w:lvl w:ilvl="6" w:tplc="61D81CCC" w:tentative="1">
      <w:start w:val="1"/>
      <w:numFmt w:val="bullet"/>
      <w:lvlText w:val="•"/>
      <w:lvlJc w:val="left"/>
      <w:pPr>
        <w:tabs>
          <w:tab w:val="num" w:pos="5040"/>
        </w:tabs>
        <w:ind w:left="5040" w:hanging="360"/>
      </w:pPr>
      <w:rPr>
        <w:rFonts w:ascii="Arial" w:hAnsi="Arial" w:hint="default"/>
      </w:rPr>
    </w:lvl>
    <w:lvl w:ilvl="7" w:tplc="FE92E4FC" w:tentative="1">
      <w:start w:val="1"/>
      <w:numFmt w:val="bullet"/>
      <w:lvlText w:val="•"/>
      <w:lvlJc w:val="left"/>
      <w:pPr>
        <w:tabs>
          <w:tab w:val="num" w:pos="5760"/>
        </w:tabs>
        <w:ind w:left="5760" w:hanging="360"/>
      </w:pPr>
      <w:rPr>
        <w:rFonts w:ascii="Arial" w:hAnsi="Arial" w:hint="default"/>
      </w:rPr>
    </w:lvl>
    <w:lvl w:ilvl="8" w:tplc="41A60B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7827CF"/>
    <w:multiLevelType w:val="hybridMultilevel"/>
    <w:tmpl w:val="BD7CC2B6"/>
    <w:lvl w:ilvl="0" w:tplc="732CFA32">
      <w:start w:val="1"/>
      <w:numFmt w:val="bullet"/>
      <w:lvlText w:val="•"/>
      <w:lvlJc w:val="left"/>
      <w:pPr>
        <w:tabs>
          <w:tab w:val="num" w:pos="720"/>
        </w:tabs>
        <w:ind w:left="720" w:hanging="360"/>
      </w:pPr>
      <w:rPr>
        <w:rFonts w:ascii="Arial" w:hAnsi="Arial" w:hint="default"/>
      </w:rPr>
    </w:lvl>
    <w:lvl w:ilvl="1" w:tplc="D474E118">
      <w:start w:val="63"/>
      <w:numFmt w:val="bullet"/>
      <w:lvlText w:val="−"/>
      <w:lvlJc w:val="left"/>
      <w:pPr>
        <w:tabs>
          <w:tab w:val="num" w:pos="1440"/>
        </w:tabs>
        <w:ind w:left="1440" w:hanging="360"/>
      </w:pPr>
      <w:rPr>
        <w:rFonts w:ascii="Calibre Regular" w:hAnsi="Calibre Regular" w:hint="default"/>
      </w:rPr>
    </w:lvl>
    <w:lvl w:ilvl="2" w:tplc="EFC881AC" w:tentative="1">
      <w:start w:val="1"/>
      <w:numFmt w:val="bullet"/>
      <w:lvlText w:val="•"/>
      <w:lvlJc w:val="left"/>
      <w:pPr>
        <w:tabs>
          <w:tab w:val="num" w:pos="2160"/>
        </w:tabs>
        <w:ind w:left="2160" w:hanging="360"/>
      </w:pPr>
      <w:rPr>
        <w:rFonts w:ascii="Arial" w:hAnsi="Arial" w:hint="default"/>
      </w:rPr>
    </w:lvl>
    <w:lvl w:ilvl="3" w:tplc="13307C42" w:tentative="1">
      <w:start w:val="1"/>
      <w:numFmt w:val="bullet"/>
      <w:lvlText w:val="•"/>
      <w:lvlJc w:val="left"/>
      <w:pPr>
        <w:tabs>
          <w:tab w:val="num" w:pos="2880"/>
        </w:tabs>
        <w:ind w:left="2880" w:hanging="360"/>
      </w:pPr>
      <w:rPr>
        <w:rFonts w:ascii="Arial" w:hAnsi="Arial" w:hint="default"/>
      </w:rPr>
    </w:lvl>
    <w:lvl w:ilvl="4" w:tplc="8B689284" w:tentative="1">
      <w:start w:val="1"/>
      <w:numFmt w:val="bullet"/>
      <w:lvlText w:val="•"/>
      <w:lvlJc w:val="left"/>
      <w:pPr>
        <w:tabs>
          <w:tab w:val="num" w:pos="3600"/>
        </w:tabs>
        <w:ind w:left="3600" w:hanging="360"/>
      </w:pPr>
      <w:rPr>
        <w:rFonts w:ascii="Arial" w:hAnsi="Arial" w:hint="default"/>
      </w:rPr>
    </w:lvl>
    <w:lvl w:ilvl="5" w:tplc="5BD69FE0" w:tentative="1">
      <w:start w:val="1"/>
      <w:numFmt w:val="bullet"/>
      <w:lvlText w:val="•"/>
      <w:lvlJc w:val="left"/>
      <w:pPr>
        <w:tabs>
          <w:tab w:val="num" w:pos="4320"/>
        </w:tabs>
        <w:ind w:left="4320" w:hanging="360"/>
      </w:pPr>
      <w:rPr>
        <w:rFonts w:ascii="Arial" w:hAnsi="Arial" w:hint="default"/>
      </w:rPr>
    </w:lvl>
    <w:lvl w:ilvl="6" w:tplc="F594C2C8" w:tentative="1">
      <w:start w:val="1"/>
      <w:numFmt w:val="bullet"/>
      <w:lvlText w:val="•"/>
      <w:lvlJc w:val="left"/>
      <w:pPr>
        <w:tabs>
          <w:tab w:val="num" w:pos="5040"/>
        </w:tabs>
        <w:ind w:left="5040" w:hanging="360"/>
      </w:pPr>
      <w:rPr>
        <w:rFonts w:ascii="Arial" w:hAnsi="Arial" w:hint="default"/>
      </w:rPr>
    </w:lvl>
    <w:lvl w:ilvl="7" w:tplc="21FE9586" w:tentative="1">
      <w:start w:val="1"/>
      <w:numFmt w:val="bullet"/>
      <w:lvlText w:val="•"/>
      <w:lvlJc w:val="left"/>
      <w:pPr>
        <w:tabs>
          <w:tab w:val="num" w:pos="5760"/>
        </w:tabs>
        <w:ind w:left="5760" w:hanging="360"/>
      </w:pPr>
      <w:rPr>
        <w:rFonts w:ascii="Arial" w:hAnsi="Arial" w:hint="default"/>
      </w:rPr>
    </w:lvl>
    <w:lvl w:ilvl="8" w:tplc="CD2A7D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CDC5AEF"/>
    <w:multiLevelType w:val="hybridMultilevel"/>
    <w:tmpl w:val="9C283A1A"/>
    <w:lvl w:ilvl="0" w:tplc="7F7ACB56">
      <w:start w:val="1"/>
      <w:numFmt w:val="bullet"/>
      <w:lvlText w:val="•"/>
      <w:lvlJc w:val="left"/>
      <w:pPr>
        <w:tabs>
          <w:tab w:val="num" w:pos="720"/>
        </w:tabs>
        <w:ind w:left="720" w:hanging="360"/>
      </w:pPr>
      <w:rPr>
        <w:rFonts w:ascii="Arial" w:hAnsi="Arial" w:hint="default"/>
      </w:rPr>
    </w:lvl>
    <w:lvl w:ilvl="1" w:tplc="311C4A74" w:tentative="1">
      <w:start w:val="1"/>
      <w:numFmt w:val="bullet"/>
      <w:lvlText w:val="•"/>
      <w:lvlJc w:val="left"/>
      <w:pPr>
        <w:tabs>
          <w:tab w:val="num" w:pos="1440"/>
        </w:tabs>
        <w:ind w:left="1440" w:hanging="360"/>
      </w:pPr>
      <w:rPr>
        <w:rFonts w:ascii="Arial" w:hAnsi="Arial" w:hint="default"/>
      </w:rPr>
    </w:lvl>
    <w:lvl w:ilvl="2" w:tplc="D0BE81C2" w:tentative="1">
      <w:start w:val="1"/>
      <w:numFmt w:val="bullet"/>
      <w:lvlText w:val="•"/>
      <w:lvlJc w:val="left"/>
      <w:pPr>
        <w:tabs>
          <w:tab w:val="num" w:pos="2160"/>
        </w:tabs>
        <w:ind w:left="2160" w:hanging="360"/>
      </w:pPr>
      <w:rPr>
        <w:rFonts w:ascii="Arial" w:hAnsi="Arial" w:hint="default"/>
      </w:rPr>
    </w:lvl>
    <w:lvl w:ilvl="3" w:tplc="907ECD08" w:tentative="1">
      <w:start w:val="1"/>
      <w:numFmt w:val="bullet"/>
      <w:lvlText w:val="•"/>
      <w:lvlJc w:val="left"/>
      <w:pPr>
        <w:tabs>
          <w:tab w:val="num" w:pos="2880"/>
        </w:tabs>
        <w:ind w:left="2880" w:hanging="360"/>
      </w:pPr>
      <w:rPr>
        <w:rFonts w:ascii="Arial" w:hAnsi="Arial" w:hint="default"/>
      </w:rPr>
    </w:lvl>
    <w:lvl w:ilvl="4" w:tplc="48E86E00" w:tentative="1">
      <w:start w:val="1"/>
      <w:numFmt w:val="bullet"/>
      <w:lvlText w:val="•"/>
      <w:lvlJc w:val="left"/>
      <w:pPr>
        <w:tabs>
          <w:tab w:val="num" w:pos="3600"/>
        </w:tabs>
        <w:ind w:left="3600" w:hanging="360"/>
      </w:pPr>
      <w:rPr>
        <w:rFonts w:ascii="Arial" w:hAnsi="Arial" w:hint="default"/>
      </w:rPr>
    </w:lvl>
    <w:lvl w:ilvl="5" w:tplc="6B948800" w:tentative="1">
      <w:start w:val="1"/>
      <w:numFmt w:val="bullet"/>
      <w:lvlText w:val="•"/>
      <w:lvlJc w:val="left"/>
      <w:pPr>
        <w:tabs>
          <w:tab w:val="num" w:pos="4320"/>
        </w:tabs>
        <w:ind w:left="4320" w:hanging="360"/>
      </w:pPr>
      <w:rPr>
        <w:rFonts w:ascii="Arial" w:hAnsi="Arial" w:hint="default"/>
      </w:rPr>
    </w:lvl>
    <w:lvl w:ilvl="6" w:tplc="F2265946" w:tentative="1">
      <w:start w:val="1"/>
      <w:numFmt w:val="bullet"/>
      <w:lvlText w:val="•"/>
      <w:lvlJc w:val="left"/>
      <w:pPr>
        <w:tabs>
          <w:tab w:val="num" w:pos="5040"/>
        </w:tabs>
        <w:ind w:left="5040" w:hanging="360"/>
      </w:pPr>
      <w:rPr>
        <w:rFonts w:ascii="Arial" w:hAnsi="Arial" w:hint="default"/>
      </w:rPr>
    </w:lvl>
    <w:lvl w:ilvl="7" w:tplc="46ACB8CE" w:tentative="1">
      <w:start w:val="1"/>
      <w:numFmt w:val="bullet"/>
      <w:lvlText w:val="•"/>
      <w:lvlJc w:val="left"/>
      <w:pPr>
        <w:tabs>
          <w:tab w:val="num" w:pos="5760"/>
        </w:tabs>
        <w:ind w:left="5760" w:hanging="360"/>
      </w:pPr>
      <w:rPr>
        <w:rFonts w:ascii="Arial" w:hAnsi="Arial" w:hint="default"/>
      </w:rPr>
    </w:lvl>
    <w:lvl w:ilvl="8" w:tplc="4FA24AF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6"/>
  </w:num>
  <w:num w:numId="4">
    <w:abstractNumId w:val="15"/>
  </w:num>
  <w:num w:numId="5">
    <w:abstractNumId w:val="0"/>
  </w:num>
  <w:num w:numId="6">
    <w:abstractNumId w:val="12"/>
  </w:num>
  <w:num w:numId="7">
    <w:abstractNumId w:val="7"/>
  </w:num>
  <w:num w:numId="8">
    <w:abstractNumId w:val="5"/>
  </w:num>
  <w:num w:numId="9">
    <w:abstractNumId w:val="9"/>
  </w:num>
  <w:num w:numId="10">
    <w:abstractNumId w:val="8"/>
  </w:num>
  <w:num w:numId="11">
    <w:abstractNumId w:val="13"/>
  </w:num>
  <w:num w:numId="12">
    <w:abstractNumId w:val="1"/>
  </w:num>
  <w:num w:numId="13">
    <w:abstractNumId w:val="3"/>
  </w:num>
  <w:num w:numId="14">
    <w:abstractNumId w:val="14"/>
  </w:num>
  <w:num w:numId="15">
    <w:abstractNumId w:val="11"/>
  </w:num>
  <w:num w:numId="16">
    <w:abstractNumId w:val="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CCB"/>
    <w:rsid w:val="00000F2A"/>
    <w:rsid w:val="00003F4D"/>
    <w:rsid w:val="000434DE"/>
    <w:rsid w:val="00046F19"/>
    <w:rsid w:val="00063014"/>
    <w:rsid w:val="0010780E"/>
    <w:rsid w:val="0015071B"/>
    <w:rsid w:val="0015079D"/>
    <w:rsid w:val="00193AEA"/>
    <w:rsid w:val="001A74A8"/>
    <w:rsid w:val="001E1952"/>
    <w:rsid w:val="001E7779"/>
    <w:rsid w:val="0020537F"/>
    <w:rsid w:val="00206CAB"/>
    <w:rsid w:val="00221AEE"/>
    <w:rsid w:val="0024482D"/>
    <w:rsid w:val="002912FC"/>
    <w:rsid w:val="00291AA1"/>
    <w:rsid w:val="002A341F"/>
    <w:rsid w:val="002A7369"/>
    <w:rsid w:val="002D7132"/>
    <w:rsid w:val="002D77E3"/>
    <w:rsid w:val="002F01A2"/>
    <w:rsid w:val="002F1AA8"/>
    <w:rsid w:val="00302893"/>
    <w:rsid w:val="00307EDD"/>
    <w:rsid w:val="00314E08"/>
    <w:rsid w:val="00345B2B"/>
    <w:rsid w:val="00361E7B"/>
    <w:rsid w:val="0036216D"/>
    <w:rsid w:val="00362AE9"/>
    <w:rsid w:val="003724B6"/>
    <w:rsid w:val="003860A1"/>
    <w:rsid w:val="003A17B2"/>
    <w:rsid w:val="003E1D70"/>
    <w:rsid w:val="003F0324"/>
    <w:rsid w:val="003F2B91"/>
    <w:rsid w:val="00420C12"/>
    <w:rsid w:val="00423A31"/>
    <w:rsid w:val="004247BB"/>
    <w:rsid w:val="0045624F"/>
    <w:rsid w:val="0048063A"/>
    <w:rsid w:val="00487836"/>
    <w:rsid w:val="004947B6"/>
    <w:rsid w:val="004B12F4"/>
    <w:rsid w:val="004B4A03"/>
    <w:rsid w:val="004B795C"/>
    <w:rsid w:val="004E4B5B"/>
    <w:rsid w:val="00501915"/>
    <w:rsid w:val="005271BE"/>
    <w:rsid w:val="00557AFD"/>
    <w:rsid w:val="005737DB"/>
    <w:rsid w:val="005943AF"/>
    <w:rsid w:val="005A03A6"/>
    <w:rsid w:val="005A56A9"/>
    <w:rsid w:val="005B4D84"/>
    <w:rsid w:val="006079CF"/>
    <w:rsid w:val="006108F4"/>
    <w:rsid w:val="006121CB"/>
    <w:rsid w:val="006433CB"/>
    <w:rsid w:val="00644C5A"/>
    <w:rsid w:val="006532DC"/>
    <w:rsid w:val="00674592"/>
    <w:rsid w:val="006C07BC"/>
    <w:rsid w:val="006C5BDC"/>
    <w:rsid w:val="006D23DD"/>
    <w:rsid w:val="007050D7"/>
    <w:rsid w:val="007146A8"/>
    <w:rsid w:val="00747231"/>
    <w:rsid w:val="00751F30"/>
    <w:rsid w:val="00755B49"/>
    <w:rsid w:val="007851E0"/>
    <w:rsid w:val="0079681C"/>
    <w:rsid w:val="007B40DC"/>
    <w:rsid w:val="007D2558"/>
    <w:rsid w:val="007F3267"/>
    <w:rsid w:val="0081113C"/>
    <w:rsid w:val="008131E3"/>
    <w:rsid w:val="008216AB"/>
    <w:rsid w:val="008233E4"/>
    <w:rsid w:val="00834B80"/>
    <w:rsid w:val="008351A3"/>
    <w:rsid w:val="008453CA"/>
    <w:rsid w:val="00853D4B"/>
    <w:rsid w:val="00854956"/>
    <w:rsid w:val="00854D50"/>
    <w:rsid w:val="00883CDA"/>
    <w:rsid w:val="00890630"/>
    <w:rsid w:val="0089636E"/>
    <w:rsid w:val="008D5FF6"/>
    <w:rsid w:val="00924BB0"/>
    <w:rsid w:val="00931437"/>
    <w:rsid w:val="00931CF9"/>
    <w:rsid w:val="0094033B"/>
    <w:rsid w:val="00942DEB"/>
    <w:rsid w:val="00966B36"/>
    <w:rsid w:val="009875DF"/>
    <w:rsid w:val="009A36EE"/>
    <w:rsid w:val="009E1DE1"/>
    <w:rsid w:val="009E5E61"/>
    <w:rsid w:val="00A15CAF"/>
    <w:rsid w:val="00A21ABF"/>
    <w:rsid w:val="00A2258C"/>
    <w:rsid w:val="00A255E2"/>
    <w:rsid w:val="00A304D4"/>
    <w:rsid w:val="00A42D26"/>
    <w:rsid w:val="00A457AC"/>
    <w:rsid w:val="00A61F10"/>
    <w:rsid w:val="00A80B90"/>
    <w:rsid w:val="00A87396"/>
    <w:rsid w:val="00A91EF7"/>
    <w:rsid w:val="00AA06BF"/>
    <w:rsid w:val="00AB746F"/>
    <w:rsid w:val="00AC6306"/>
    <w:rsid w:val="00AD720E"/>
    <w:rsid w:val="00AE1A2B"/>
    <w:rsid w:val="00B25788"/>
    <w:rsid w:val="00B308FB"/>
    <w:rsid w:val="00B417CB"/>
    <w:rsid w:val="00B50DD2"/>
    <w:rsid w:val="00B514A8"/>
    <w:rsid w:val="00B652C6"/>
    <w:rsid w:val="00B6571B"/>
    <w:rsid w:val="00B819A1"/>
    <w:rsid w:val="00BC3BC7"/>
    <w:rsid w:val="00BE16E5"/>
    <w:rsid w:val="00BF1AFD"/>
    <w:rsid w:val="00C41EE8"/>
    <w:rsid w:val="00C42FCF"/>
    <w:rsid w:val="00C557AB"/>
    <w:rsid w:val="00C575FE"/>
    <w:rsid w:val="00C63B09"/>
    <w:rsid w:val="00C95DC1"/>
    <w:rsid w:val="00CA731A"/>
    <w:rsid w:val="00CB7F92"/>
    <w:rsid w:val="00CD5F51"/>
    <w:rsid w:val="00CE39CA"/>
    <w:rsid w:val="00CE7DDF"/>
    <w:rsid w:val="00D36CA2"/>
    <w:rsid w:val="00D37EDB"/>
    <w:rsid w:val="00D5704D"/>
    <w:rsid w:val="00D650AA"/>
    <w:rsid w:val="00D80891"/>
    <w:rsid w:val="00D837AF"/>
    <w:rsid w:val="00DA7465"/>
    <w:rsid w:val="00DA7CCB"/>
    <w:rsid w:val="00DD53BE"/>
    <w:rsid w:val="00E37B03"/>
    <w:rsid w:val="00E42748"/>
    <w:rsid w:val="00E624CD"/>
    <w:rsid w:val="00E6531C"/>
    <w:rsid w:val="00E87187"/>
    <w:rsid w:val="00EB7B00"/>
    <w:rsid w:val="00EE55F1"/>
    <w:rsid w:val="00F20F1D"/>
    <w:rsid w:val="00F44AFB"/>
    <w:rsid w:val="00F65E56"/>
    <w:rsid w:val="00F9409B"/>
    <w:rsid w:val="00F97D24"/>
    <w:rsid w:val="00FC66F4"/>
    <w:rsid w:val="00FC6C5B"/>
    <w:rsid w:val="00FD02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3B6BA"/>
  <w15:chartTrackingRefBased/>
  <w15:docId w15:val="{944A4D13-2DC4-47CC-A1CD-7A8D88E4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CCB"/>
    <w:pPr>
      <w:autoSpaceDE w:val="0"/>
      <w:autoSpaceDN w:val="0"/>
      <w:adjustRightInd w:val="0"/>
      <w:snapToGrid w:val="0"/>
      <w:spacing w:after="120" w:line="240" w:lineRule="auto"/>
      <w:jc w:val="both"/>
    </w:pPr>
    <w:rPr>
      <w:rFonts w:ascii="Times New Roman" w:eastAsiaTheme="minorEastAsia" w:hAnsi="Times New Roman" w:cs="Times New Roman"/>
    </w:rPr>
  </w:style>
  <w:style w:type="paragraph" w:styleId="Heading1">
    <w:name w:val="heading 1"/>
    <w:basedOn w:val="Normal"/>
    <w:next w:val="Normal"/>
    <w:link w:val="Heading1Char"/>
    <w:qFormat/>
    <w:rsid w:val="00DA7CCB"/>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DA7CCB"/>
    <w:pPr>
      <w:keepNext/>
      <w:numPr>
        <w:ilvl w:val="1"/>
        <w:numId w:val="1"/>
      </w:numPr>
      <w:spacing w:before="120"/>
      <w:outlineLvl w:val="1"/>
    </w:pPr>
    <w:rPr>
      <w:b/>
      <w:bCs/>
      <w:sz w:val="24"/>
    </w:rPr>
  </w:style>
  <w:style w:type="paragraph" w:styleId="Heading3">
    <w:name w:val="heading 3"/>
    <w:basedOn w:val="Normal"/>
    <w:next w:val="Normal"/>
    <w:link w:val="Heading3Char"/>
    <w:qFormat/>
    <w:rsid w:val="00DA7CCB"/>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DA7CCB"/>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DA7CCB"/>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DA7CCB"/>
    <w:pPr>
      <w:numPr>
        <w:ilvl w:val="5"/>
        <w:numId w:val="1"/>
      </w:numPr>
      <w:spacing w:before="240" w:after="60"/>
      <w:outlineLvl w:val="5"/>
    </w:pPr>
    <w:rPr>
      <w:b/>
      <w:bCs/>
    </w:rPr>
  </w:style>
  <w:style w:type="paragraph" w:styleId="Heading7">
    <w:name w:val="heading 7"/>
    <w:basedOn w:val="Normal"/>
    <w:next w:val="Normal"/>
    <w:link w:val="Heading7Char"/>
    <w:qFormat/>
    <w:rsid w:val="00DA7CCB"/>
    <w:pPr>
      <w:numPr>
        <w:ilvl w:val="6"/>
        <w:numId w:val="1"/>
      </w:numPr>
      <w:spacing w:before="240" w:after="60"/>
      <w:outlineLvl w:val="6"/>
    </w:pPr>
    <w:rPr>
      <w:sz w:val="24"/>
      <w:szCs w:val="24"/>
    </w:rPr>
  </w:style>
  <w:style w:type="paragraph" w:styleId="Heading8">
    <w:name w:val="heading 8"/>
    <w:basedOn w:val="Normal"/>
    <w:next w:val="Normal"/>
    <w:link w:val="Heading8Char"/>
    <w:qFormat/>
    <w:rsid w:val="00DA7CCB"/>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DA7CC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7CCB"/>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rsid w:val="00DA7CCB"/>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DA7CCB"/>
    <w:rPr>
      <w:rFonts w:ascii="Times New Roman" w:eastAsiaTheme="minorEastAsia" w:hAnsi="Times New Roman" w:cs="Times New Roman"/>
      <w:b/>
    </w:rPr>
  </w:style>
  <w:style w:type="character" w:customStyle="1" w:styleId="Heading4Char">
    <w:name w:val="Heading 4 Char"/>
    <w:basedOn w:val="DefaultParagraphFont"/>
    <w:link w:val="Heading4"/>
    <w:rsid w:val="00DA7CCB"/>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DA7CCB"/>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DA7CCB"/>
    <w:rPr>
      <w:rFonts w:ascii="Times New Roman" w:eastAsiaTheme="minorEastAsia" w:hAnsi="Times New Roman" w:cs="Times New Roman"/>
      <w:b/>
      <w:bCs/>
    </w:rPr>
  </w:style>
  <w:style w:type="character" w:customStyle="1" w:styleId="Heading7Char">
    <w:name w:val="Heading 7 Char"/>
    <w:basedOn w:val="DefaultParagraphFont"/>
    <w:link w:val="Heading7"/>
    <w:rsid w:val="00DA7CCB"/>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DA7CCB"/>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DA7CCB"/>
    <w:rPr>
      <w:rFonts w:ascii="Arial" w:eastAsiaTheme="minorEastAsia" w:hAnsi="Arial" w:cs="Arial"/>
    </w:rPr>
  </w:style>
  <w:style w:type="paragraph" w:styleId="FootnoteText">
    <w:name w:val="footnote text"/>
    <w:basedOn w:val="Normal"/>
    <w:link w:val="FootnoteTextChar"/>
    <w:semiHidden/>
    <w:rsid w:val="00DA7CCB"/>
    <w:rPr>
      <w:sz w:val="20"/>
      <w:szCs w:val="20"/>
    </w:rPr>
  </w:style>
  <w:style w:type="character" w:customStyle="1" w:styleId="FootnoteTextChar">
    <w:name w:val="Footnote Text Char"/>
    <w:basedOn w:val="DefaultParagraphFont"/>
    <w:link w:val="FootnoteText"/>
    <w:semiHidden/>
    <w:rsid w:val="00DA7CCB"/>
    <w:rPr>
      <w:rFonts w:ascii="Times New Roman" w:eastAsiaTheme="minorEastAsia" w:hAnsi="Times New Roman"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A7CCB"/>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A7CCB"/>
    <w:rPr>
      <w:rFonts w:ascii="Times New Roman" w:eastAsiaTheme="minorEastAsia" w:hAnsi="Times New Roman" w:cs="Times New Roman"/>
    </w:rPr>
  </w:style>
  <w:style w:type="character" w:styleId="CommentReference">
    <w:name w:val="annotation reference"/>
    <w:basedOn w:val="DefaultParagraphFont"/>
    <w:rsid w:val="00DA7CCB"/>
    <w:rPr>
      <w:sz w:val="21"/>
      <w:szCs w:val="21"/>
    </w:rPr>
  </w:style>
  <w:style w:type="paragraph" w:styleId="CommentText">
    <w:name w:val="annotation text"/>
    <w:basedOn w:val="Normal"/>
    <w:link w:val="CommentTextChar"/>
    <w:rsid w:val="00DA7CCB"/>
    <w:pPr>
      <w:jc w:val="left"/>
    </w:pPr>
  </w:style>
  <w:style w:type="character" w:customStyle="1" w:styleId="CommentTextChar">
    <w:name w:val="Comment Text Char"/>
    <w:basedOn w:val="DefaultParagraphFont"/>
    <w:link w:val="CommentText"/>
    <w:rsid w:val="00DA7CCB"/>
    <w:rPr>
      <w:rFonts w:ascii="Times New Roman" w:eastAsiaTheme="minorEastAsia" w:hAnsi="Times New Roman" w:cs="Times New Roman"/>
    </w:rPr>
  </w:style>
  <w:style w:type="paragraph" w:styleId="ListParagraph">
    <w:name w:val="List Paragraph"/>
    <w:basedOn w:val="Normal"/>
    <w:uiPriority w:val="34"/>
    <w:qFormat/>
    <w:rsid w:val="00DA7CCB"/>
    <w:pPr>
      <w:ind w:left="720"/>
      <w:contextualSpacing/>
    </w:pPr>
  </w:style>
  <w:style w:type="paragraph" w:styleId="BalloonText">
    <w:name w:val="Balloon Text"/>
    <w:basedOn w:val="Normal"/>
    <w:link w:val="BalloonTextChar"/>
    <w:uiPriority w:val="99"/>
    <w:semiHidden/>
    <w:unhideWhenUsed/>
    <w:rsid w:val="00DA7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CB"/>
    <w:rPr>
      <w:rFonts w:ascii="Segoe UI" w:eastAsiaTheme="minorEastAsia" w:hAnsi="Segoe UI" w:cs="Segoe UI"/>
      <w:sz w:val="18"/>
      <w:szCs w:val="18"/>
    </w:rPr>
  </w:style>
  <w:style w:type="table" w:styleId="GridTable3">
    <w:name w:val="Grid Table 3"/>
    <w:basedOn w:val="TableNormal"/>
    <w:uiPriority w:val="48"/>
    <w:rsid w:val="00751F3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Caption">
    <w:name w:val="caption"/>
    <w:basedOn w:val="Normal"/>
    <w:next w:val="Normal"/>
    <w:uiPriority w:val="35"/>
    <w:unhideWhenUsed/>
    <w:qFormat/>
    <w:rsid w:val="00501915"/>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7050D7"/>
    <w:pPr>
      <w:jc w:val="both"/>
    </w:pPr>
    <w:rPr>
      <w:b/>
      <w:bCs/>
      <w:sz w:val="20"/>
      <w:szCs w:val="20"/>
    </w:rPr>
  </w:style>
  <w:style w:type="character" w:customStyle="1" w:styleId="CommentSubjectChar">
    <w:name w:val="Comment Subject Char"/>
    <w:basedOn w:val="CommentTextChar"/>
    <w:link w:val="CommentSubject"/>
    <w:uiPriority w:val="99"/>
    <w:semiHidden/>
    <w:rsid w:val="007050D7"/>
    <w:rPr>
      <w:rFonts w:ascii="Times New Roman" w:eastAsiaTheme="minorEastAsia" w:hAnsi="Times New Roman" w:cs="Times New Roman"/>
      <w:b/>
      <w:bCs/>
      <w:sz w:val="20"/>
      <w:szCs w:val="20"/>
    </w:rPr>
  </w:style>
  <w:style w:type="character" w:styleId="FootnoteReference">
    <w:name w:val="footnote reference"/>
    <w:basedOn w:val="DefaultParagraphFont"/>
    <w:uiPriority w:val="99"/>
    <w:semiHidden/>
    <w:unhideWhenUsed/>
    <w:rsid w:val="00D37EDB"/>
    <w:rPr>
      <w:vertAlign w:val="superscript"/>
    </w:rPr>
  </w:style>
  <w:style w:type="table" w:styleId="TableGrid">
    <w:name w:val="Table Grid"/>
    <w:basedOn w:val="TableNormal"/>
    <w:uiPriority w:val="39"/>
    <w:rsid w:val="00612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8506">
      <w:bodyDiv w:val="1"/>
      <w:marLeft w:val="0"/>
      <w:marRight w:val="0"/>
      <w:marTop w:val="0"/>
      <w:marBottom w:val="0"/>
      <w:divBdr>
        <w:top w:val="none" w:sz="0" w:space="0" w:color="auto"/>
        <w:left w:val="none" w:sz="0" w:space="0" w:color="auto"/>
        <w:bottom w:val="none" w:sz="0" w:space="0" w:color="auto"/>
        <w:right w:val="none" w:sz="0" w:space="0" w:color="auto"/>
      </w:divBdr>
    </w:div>
    <w:div w:id="174076555">
      <w:bodyDiv w:val="1"/>
      <w:marLeft w:val="0"/>
      <w:marRight w:val="0"/>
      <w:marTop w:val="0"/>
      <w:marBottom w:val="0"/>
      <w:divBdr>
        <w:top w:val="none" w:sz="0" w:space="0" w:color="auto"/>
        <w:left w:val="none" w:sz="0" w:space="0" w:color="auto"/>
        <w:bottom w:val="none" w:sz="0" w:space="0" w:color="auto"/>
        <w:right w:val="none" w:sz="0" w:space="0" w:color="auto"/>
      </w:divBdr>
      <w:divsChild>
        <w:div w:id="1584683093">
          <w:marLeft w:val="994"/>
          <w:marRight w:val="0"/>
          <w:marTop w:val="48"/>
          <w:marBottom w:val="0"/>
          <w:divBdr>
            <w:top w:val="none" w:sz="0" w:space="0" w:color="auto"/>
            <w:left w:val="none" w:sz="0" w:space="0" w:color="auto"/>
            <w:bottom w:val="none" w:sz="0" w:space="0" w:color="auto"/>
            <w:right w:val="none" w:sz="0" w:space="0" w:color="auto"/>
          </w:divBdr>
        </w:div>
        <w:div w:id="1386678922">
          <w:marLeft w:val="1714"/>
          <w:marRight w:val="0"/>
          <w:marTop w:val="48"/>
          <w:marBottom w:val="0"/>
          <w:divBdr>
            <w:top w:val="none" w:sz="0" w:space="0" w:color="auto"/>
            <w:left w:val="none" w:sz="0" w:space="0" w:color="auto"/>
            <w:bottom w:val="none" w:sz="0" w:space="0" w:color="auto"/>
            <w:right w:val="none" w:sz="0" w:space="0" w:color="auto"/>
          </w:divBdr>
        </w:div>
        <w:div w:id="757365403">
          <w:marLeft w:val="1714"/>
          <w:marRight w:val="0"/>
          <w:marTop w:val="48"/>
          <w:marBottom w:val="0"/>
          <w:divBdr>
            <w:top w:val="none" w:sz="0" w:space="0" w:color="auto"/>
            <w:left w:val="none" w:sz="0" w:space="0" w:color="auto"/>
            <w:bottom w:val="none" w:sz="0" w:space="0" w:color="auto"/>
            <w:right w:val="none" w:sz="0" w:space="0" w:color="auto"/>
          </w:divBdr>
        </w:div>
        <w:div w:id="1385912587">
          <w:marLeft w:val="1714"/>
          <w:marRight w:val="0"/>
          <w:marTop w:val="48"/>
          <w:marBottom w:val="0"/>
          <w:divBdr>
            <w:top w:val="none" w:sz="0" w:space="0" w:color="auto"/>
            <w:left w:val="none" w:sz="0" w:space="0" w:color="auto"/>
            <w:bottom w:val="none" w:sz="0" w:space="0" w:color="auto"/>
            <w:right w:val="none" w:sz="0" w:space="0" w:color="auto"/>
          </w:divBdr>
        </w:div>
        <w:div w:id="171146536">
          <w:marLeft w:val="1714"/>
          <w:marRight w:val="0"/>
          <w:marTop w:val="48"/>
          <w:marBottom w:val="0"/>
          <w:divBdr>
            <w:top w:val="none" w:sz="0" w:space="0" w:color="auto"/>
            <w:left w:val="none" w:sz="0" w:space="0" w:color="auto"/>
            <w:bottom w:val="none" w:sz="0" w:space="0" w:color="auto"/>
            <w:right w:val="none" w:sz="0" w:space="0" w:color="auto"/>
          </w:divBdr>
        </w:div>
      </w:divsChild>
    </w:div>
    <w:div w:id="207570111">
      <w:bodyDiv w:val="1"/>
      <w:marLeft w:val="0"/>
      <w:marRight w:val="0"/>
      <w:marTop w:val="0"/>
      <w:marBottom w:val="0"/>
      <w:divBdr>
        <w:top w:val="none" w:sz="0" w:space="0" w:color="auto"/>
        <w:left w:val="none" w:sz="0" w:space="0" w:color="auto"/>
        <w:bottom w:val="none" w:sz="0" w:space="0" w:color="auto"/>
        <w:right w:val="none" w:sz="0" w:space="0" w:color="auto"/>
      </w:divBdr>
    </w:div>
    <w:div w:id="252667009">
      <w:bodyDiv w:val="1"/>
      <w:marLeft w:val="0"/>
      <w:marRight w:val="0"/>
      <w:marTop w:val="0"/>
      <w:marBottom w:val="0"/>
      <w:divBdr>
        <w:top w:val="none" w:sz="0" w:space="0" w:color="auto"/>
        <w:left w:val="none" w:sz="0" w:space="0" w:color="auto"/>
        <w:bottom w:val="none" w:sz="0" w:space="0" w:color="auto"/>
        <w:right w:val="none" w:sz="0" w:space="0" w:color="auto"/>
      </w:divBdr>
      <w:divsChild>
        <w:div w:id="1432968770">
          <w:marLeft w:val="994"/>
          <w:marRight w:val="0"/>
          <w:marTop w:val="48"/>
          <w:marBottom w:val="0"/>
          <w:divBdr>
            <w:top w:val="none" w:sz="0" w:space="0" w:color="auto"/>
            <w:left w:val="none" w:sz="0" w:space="0" w:color="auto"/>
            <w:bottom w:val="none" w:sz="0" w:space="0" w:color="auto"/>
            <w:right w:val="none" w:sz="0" w:space="0" w:color="auto"/>
          </w:divBdr>
        </w:div>
        <w:div w:id="1523587073">
          <w:marLeft w:val="1714"/>
          <w:marRight w:val="0"/>
          <w:marTop w:val="48"/>
          <w:marBottom w:val="0"/>
          <w:divBdr>
            <w:top w:val="none" w:sz="0" w:space="0" w:color="auto"/>
            <w:left w:val="none" w:sz="0" w:space="0" w:color="auto"/>
            <w:bottom w:val="none" w:sz="0" w:space="0" w:color="auto"/>
            <w:right w:val="none" w:sz="0" w:space="0" w:color="auto"/>
          </w:divBdr>
        </w:div>
        <w:div w:id="2044280728">
          <w:marLeft w:val="1714"/>
          <w:marRight w:val="0"/>
          <w:marTop w:val="48"/>
          <w:marBottom w:val="0"/>
          <w:divBdr>
            <w:top w:val="none" w:sz="0" w:space="0" w:color="auto"/>
            <w:left w:val="none" w:sz="0" w:space="0" w:color="auto"/>
            <w:bottom w:val="none" w:sz="0" w:space="0" w:color="auto"/>
            <w:right w:val="none" w:sz="0" w:space="0" w:color="auto"/>
          </w:divBdr>
        </w:div>
        <w:div w:id="988290485">
          <w:marLeft w:val="1714"/>
          <w:marRight w:val="0"/>
          <w:marTop w:val="48"/>
          <w:marBottom w:val="0"/>
          <w:divBdr>
            <w:top w:val="none" w:sz="0" w:space="0" w:color="auto"/>
            <w:left w:val="none" w:sz="0" w:space="0" w:color="auto"/>
            <w:bottom w:val="none" w:sz="0" w:space="0" w:color="auto"/>
            <w:right w:val="none" w:sz="0" w:space="0" w:color="auto"/>
          </w:divBdr>
        </w:div>
        <w:div w:id="1373312682">
          <w:marLeft w:val="1714"/>
          <w:marRight w:val="0"/>
          <w:marTop w:val="48"/>
          <w:marBottom w:val="0"/>
          <w:divBdr>
            <w:top w:val="none" w:sz="0" w:space="0" w:color="auto"/>
            <w:left w:val="none" w:sz="0" w:space="0" w:color="auto"/>
            <w:bottom w:val="none" w:sz="0" w:space="0" w:color="auto"/>
            <w:right w:val="none" w:sz="0" w:space="0" w:color="auto"/>
          </w:divBdr>
        </w:div>
      </w:divsChild>
    </w:div>
    <w:div w:id="264967585">
      <w:bodyDiv w:val="1"/>
      <w:marLeft w:val="0"/>
      <w:marRight w:val="0"/>
      <w:marTop w:val="0"/>
      <w:marBottom w:val="0"/>
      <w:divBdr>
        <w:top w:val="none" w:sz="0" w:space="0" w:color="auto"/>
        <w:left w:val="none" w:sz="0" w:space="0" w:color="auto"/>
        <w:bottom w:val="none" w:sz="0" w:space="0" w:color="auto"/>
        <w:right w:val="none" w:sz="0" w:space="0" w:color="auto"/>
      </w:divBdr>
      <w:divsChild>
        <w:div w:id="56517282">
          <w:marLeft w:val="446"/>
          <w:marRight w:val="0"/>
          <w:marTop w:val="0"/>
          <w:marBottom w:val="0"/>
          <w:divBdr>
            <w:top w:val="none" w:sz="0" w:space="0" w:color="auto"/>
            <w:left w:val="none" w:sz="0" w:space="0" w:color="auto"/>
            <w:bottom w:val="none" w:sz="0" w:space="0" w:color="auto"/>
            <w:right w:val="none" w:sz="0" w:space="0" w:color="auto"/>
          </w:divBdr>
        </w:div>
        <w:div w:id="82336793">
          <w:marLeft w:val="446"/>
          <w:marRight w:val="0"/>
          <w:marTop w:val="0"/>
          <w:marBottom w:val="0"/>
          <w:divBdr>
            <w:top w:val="none" w:sz="0" w:space="0" w:color="auto"/>
            <w:left w:val="none" w:sz="0" w:space="0" w:color="auto"/>
            <w:bottom w:val="none" w:sz="0" w:space="0" w:color="auto"/>
            <w:right w:val="none" w:sz="0" w:space="0" w:color="auto"/>
          </w:divBdr>
        </w:div>
        <w:div w:id="1044208559">
          <w:marLeft w:val="547"/>
          <w:marRight w:val="0"/>
          <w:marTop w:val="0"/>
          <w:marBottom w:val="0"/>
          <w:divBdr>
            <w:top w:val="none" w:sz="0" w:space="0" w:color="auto"/>
            <w:left w:val="none" w:sz="0" w:space="0" w:color="auto"/>
            <w:bottom w:val="none" w:sz="0" w:space="0" w:color="auto"/>
            <w:right w:val="none" w:sz="0" w:space="0" w:color="auto"/>
          </w:divBdr>
        </w:div>
        <w:div w:id="484979515">
          <w:marLeft w:val="850"/>
          <w:marRight w:val="0"/>
          <w:marTop w:val="0"/>
          <w:marBottom w:val="0"/>
          <w:divBdr>
            <w:top w:val="none" w:sz="0" w:space="0" w:color="auto"/>
            <w:left w:val="none" w:sz="0" w:space="0" w:color="auto"/>
            <w:bottom w:val="none" w:sz="0" w:space="0" w:color="auto"/>
            <w:right w:val="none" w:sz="0" w:space="0" w:color="auto"/>
          </w:divBdr>
        </w:div>
        <w:div w:id="491720166">
          <w:marLeft w:val="850"/>
          <w:marRight w:val="0"/>
          <w:marTop w:val="0"/>
          <w:marBottom w:val="0"/>
          <w:divBdr>
            <w:top w:val="none" w:sz="0" w:space="0" w:color="auto"/>
            <w:left w:val="none" w:sz="0" w:space="0" w:color="auto"/>
            <w:bottom w:val="none" w:sz="0" w:space="0" w:color="auto"/>
            <w:right w:val="none" w:sz="0" w:space="0" w:color="auto"/>
          </w:divBdr>
        </w:div>
        <w:div w:id="67381810">
          <w:marLeft w:val="547"/>
          <w:marRight w:val="0"/>
          <w:marTop w:val="0"/>
          <w:marBottom w:val="0"/>
          <w:divBdr>
            <w:top w:val="none" w:sz="0" w:space="0" w:color="auto"/>
            <w:left w:val="none" w:sz="0" w:space="0" w:color="auto"/>
            <w:bottom w:val="none" w:sz="0" w:space="0" w:color="auto"/>
            <w:right w:val="none" w:sz="0" w:space="0" w:color="auto"/>
          </w:divBdr>
        </w:div>
        <w:div w:id="139153553">
          <w:marLeft w:val="850"/>
          <w:marRight w:val="0"/>
          <w:marTop w:val="0"/>
          <w:marBottom w:val="0"/>
          <w:divBdr>
            <w:top w:val="none" w:sz="0" w:space="0" w:color="auto"/>
            <w:left w:val="none" w:sz="0" w:space="0" w:color="auto"/>
            <w:bottom w:val="none" w:sz="0" w:space="0" w:color="auto"/>
            <w:right w:val="none" w:sz="0" w:space="0" w:color="auto"/>
          </w:divBdr>
        </w:div>
        <w:div w:id="1307005269">
          <w:marLeft w:val="850"/>
          <w:marRight w:val="0"/>
          <w:marTop w:val="0"/>
          <w:marBottom w:val="180"/>
          <w:divBdr>
            <w:top w:val="none" w:sz="0" w:space="0" w:color="auto"/>
            <w:left w:val="none" w:sz="0" w:space="0" w:color="auto"/>
            <w:bottom w:val="none" w:sz="0" w:space="0" w:color="auto"/>
            <w:right w:val="none" w:sz="0" w:space="0" w:color="auto"/>
          </w:divBdr>
        </w:div>
      </w:divsChild>
    </w:div>
    <w:div w:id="443840374">
      <w:bodyDiv w:val="1"/>
      <w:marLeft w:val="0"/>
      <w:marRight w:val="0"/>
      <w:marTop w:val="0"/>
      <w:marBottom w:val="0"/>
      <w:divBdr>
        <w:top w:val="none" w:sz="0" w:space="0" w:color="auto"/>
        <w:left w:val="none" w:sz="0" w:space="0" w:color="auto"/>
        <w:bottom w:val="none" w:sz="0" w:space="0" w:color="auto"/>
        <w:right w:val="none" w:sz="0" w:space="0" w:color="auto"/>
      </w:divBdr>
    </w:div>
    <w:div w:id="492839651">
      <w:bodyDiv w:val="1"/>
      <w:marLeft w:val="0"/>
      <w:marRight w:val="0"/>
      <w:marTop w:val="0"/>
      <w:marBottom w:val="0"/>
      <w:divBdr>
        <w:top w:val="none" w:sz="0" w:space="0" w:color="auto"/>
        <w:left w:val="none" w:sz="0" w:space="0" w:color="auto"/>
        <w:bottom w:val="none" w:sz="0" w:space="0" w:color="auto"/>
        <w:right w:val="none" w:sz="0" w:space="0" w:color="auto"/>
      </w:divBdr>
      <w:divsChild>
        <w:div w:id="1182626427">
          <w:marLeft w:val="547"/>
          <w:marRight w:val="0"/>
          <w:marTop w:val="0"/>
          <w:marBottom w:val="0"/>
          <w:divBdr>
            <w:top w:val="none" w:sz="0" w:space="0" w:color="auto"/>
            <w:left w:val="none" w:sz="0" w:space="0" w:color="auto"/>
            <w:bottom w:val="none" w:sz="0" w:space="0" w:color="auto"/>
            <w:right w:val="none" w:sz="0" w:space="0" w:color="auto"/>
          </w:divBdr>
        </w:div>
        <w:div w:id="1162697785">
          <w:marLeft w:val="850"/>
          <w:marRight w:val="0"/>
          <w:marTop w:val="0"/>
          <w:marBottom w:val="0"/>
          <w:divBdr>
            <w:top w:val="none" w:sz="0" w:space="0" w:color="auto"/>
            <w:left w:val="none" w:sz="0" w:space="0" w:color="auto"/>
            <w:bottom w:val="none" w:sz="0" w:space="0" w:color="auto"/>
            <w:right w:val="none" w:sz="0" w:space="0" w:color="auto"/>
          </w:divBdr>
        </w:div>
        <w:div w:id="1793359474">
          <w:marLeft w:val="850"/>
          <w:marRight w:val="0"/>
          <w:marTop w:val="0"/>
          <w:marBottom w:val="0"/>
          <w:divBdr>
            <w:top w:val="none" w:sz="0" w:space="0" w:color="auto"/>
            <w:left w:val="none" w:sz="0" w:space="0" w:color="auto"/>
            <w:bottom w:val="none" w:sz="0" w:space="0" w:color="auto"/>
            <w:right w:val="none" w:sz="0" w:space="0" w:color="auto"/>
          </w:divBdr>
        </w:div>
        <w:div w:id="342516957">
          <w:marLeft w:val="547"/>
          <w:marRight w:val="0"/>
          <w:marTop w:val="0"/>
          <w:marBottom w:val="0"/>
          <w:divBdr>
            <w:top w:val="none" w:sz="0" w:space="0" w:color="auto"/>
            <w:left w:val="none" w:sz="0" w:space="0" w:color="auto"/>
            <w:bottom w:val="none" w:sz="0" w:space="0" w:color="auto"/>
            <w:right w:val="none" w:sz="0" w:space="0" w:color="auto"/>
          </w:divBdr>
        </w:div>
        <w:div w:id="801002738">
          <w:marLeft w:val="850"/>
          <w:marRight w:val="0"/>
          <w:marTop w:val="0"/>
          <w:marBottom w:val="0"/>
          <w:divBdr>
            <w:top w:val="none" w:sz="0" w:space="0" w:color="auto"/>
            <w:left w:val="none" w:sz="0" w:space="0" w:color="auto"/>
            <w:bottom w:val="none" w:sz="0" w:space="0" w:color="auto"/>
            <w:right w:val="none" w:sz="0" w:space="0" w:color="auto"/>
          </w:divBdr>
        </w:div>
        <w:div w:id="1610350819">
          <w:marLeft w:val="850"/>
          <w:marRight w:val="0"/>
          <w:marTop w:val="0"/>
          <w:marBottom w:val="180"/>
          <w:divBdr>
            <w:top w:val="none" w:sz="0" w:space="0" w:color="auto"/>
            <w:left w:val="none" w:sz="0" w:space="0" w:color="auto"/>
            <w:bottom w:val="none" w:sz="0" w:space="0" w:color="auto"/>
            <w:right w:val="none" w:sz="0" w:space="0" w:color="auto"/>
          </w:divBdr>
        </w:div>
      </w:divsChild>
    </w:div>
    <w:div w:id="524489881">
      <w:bodyDiv w:val="1"/>
      <w:marLeft w:val="0"/>
      <w:marRight w:val="0"/>
      <w:marTop w:val="0"/>
      <w:marBottom w:val="0"/>
      <w:divBdr>
        <w:top w:val="none" w:sz="0" w:space="0" w:color="auto"/>
        <w:left w:val="none" w:sz="0" w:space="0" w:color="auto"/>
        <w:bottom w:val="none" w:sz="0" w:space="0" w:color="auto"/>
        <w:right w:val="none" w:sz="0" w:space="0" w:color="auto"/>
      </w:divBdr>
      <w:divsChild>
        <w:div w:id="1591961902">
          <w:marLeft w:val="446"/>
          <w:marRight w:val="0"/>
          <w:marTop w:val="0"/>
          <w:marBottom w:val="0"/>
          <w:divBdr>
            <w:top w:val="none" w:sz="0" w:space="0" w:color="auto"/>
            <w:left w:val="none" w:sz="0" w:space="0" w:color="auto"/>
            <w:bottom w:val="none" w:sz="0" w:space="0" w:color="auto"/>
            <w:right w:val="none" w:sz="0" w:space="0" w:color="auto"/>
          </w:divBdr>
        </w:div>
        <w:div w:id="132261244">
          <w:marLeft w:val="446"/>
          <w:marRight w:val="0"/>
          <w:marTop w:val="0"/>
          <w:marBottom w:val="0"/>
          <w:divBdr>
            <w:top w:val="none" w:sz="0" w:space="0" w:color="auto"/>
            <w:left w:val="none" w:sz="0" w:space="0" w:color="auto"/>
            <w:bottom w:val="none" w:sz="0" w:space="0" w:color="auto"/>
            <w:right w:val="none" w:sz="0" w:space="0" w:color="auto"/>
          </w:divBdr>
        </w:div>
      </w:divsChild>
    </w:div>
    <w:div w:id="715160138">
      <w:bodyDiv w:val="1"/>
      <w:marLeft w:val="0"/>
      <w:marRight w:val="0"/>
      <w:marTop w:val="0"/>
      <w:marBottom w:val="0"/>
      <w:divBdr>
        <w:top w:val="none" w:sz="0" w:space="0" w:color="auto"/>
        <w:left w:val="none" w:sz="0" w:space="0" w:color="auto"/>
        <w:bottom w:val="none" w:sz="0" w:space="0" w:color="auto"/>
        <w:right w:val="none" w:sz="0" w:space="0" w:color="auto"/>
      </w:divBdr>
      <w:divsChild>
        <w:div w:id="271283263">
          <w:marLeft w:val="994"/>
          <w:marRight w:val="0"/>
          <w:marTop w:val="48"/>
          <w:marBottom w:val="0"/>
          <w:divBdr>
            <w:top w:val="none" w:sz="0" w:space="0" w:color="auto"/>
            <w:left w:val="none" w:sz="0" w:space="0" w:color="auto"/>
            <w:bottom w:val="none" w:sz="0" w:space="0" w:color="auto"/>
            <w:right w:val="none" w:sz="0" w:space="0" w:color="auto"/>
          </w:divBdr>
        </w:div>
        <w:div w:id="547448460">
          <w:marLeft w:val="1714"/>
          <w:marRight w:val="0"/>
          <w:marTop w:val="48"/>
          <w:marBottom w:val="0"/>
          <w:divBdr>
            <w:top w:val="none" w:sz="0" w:space="0" w:color="auto"/>
            <w:left w:val="none" w:sz="0" w:space="0" w:color="auto"/>
            <w:bottom w:val="none" w:sz="0" w:space="0" w:color="auto"/>
            <w:right w:val="none" w:sz="0" w:space="0" w:color="auto"/>
          </w:divBdr>
        </w:div>
        <w:div w:id="611674186">
          <w:marLeft w:val="1714"/>
          <w:marRight w:val="0"/>
          <w:marTop w:val="48"/>
          <w:marBottom w:val="0"/>
          <w:divBdr>
            <w:top w:val="none" w:sz="0" w:space="0" w:color="auto"/>
            <w:left w:val="none" w:sz="0" w:space="0" w:color="auto"/>
            <w:bottom w:val="none" w:sz="0" w:space="0" w:color="auto"/>
            <w:right w:val="none" w:sz="0" w:space="0" w:color="auto"/>
          </w:divBdr>
        </w:div>
        <w:div w:id="1265378510">
          <w:marLeft w:val="1714"/>
          <w:marRight w:val="0"/>
          <w:marTop w:val="48"/>
          <w:marBottom w:val="0"/>
          <w:divBdr>
            <w:top w:val="none" w:sz="0" w:space="0" w:color="auto"/>
            <w:left w:val="none" w:sz="0" w:space="0" w:color="auto"/>
            <w:bottom w:val="none" w:sz="0" w:space="0" w:color="auto"/>
            <w:right w:val="none" w:sz="0" w:space="0" w:color="auto"/>
          </w:divBdr>
        </w:div>
        <w:div w:id="1566188047">
          <w:marLeft w:val="1714"/>
          <w:marRight w:val="0"/>
          <w:marTop w:val="48"/>
          <w:marBottom w:val="0"/>
          <w:divBdr>
            <w:top w:val="none" w:sz="0" w:space="0" w:color="auto"/>
            <w:left w:val="none" w:sz="0" w:space="0" w:color="auto"/>
            <w:bottom w:val="none" w:sz="0" w:space="0" w:color="auto"/>
            <w:right w:val="none" w:sz="0" w:space="0" w:color="auto"/>
          </w:divBdr>
        </w:div>
      </w:divsChild>
    </w:div>
    <w:div w:id="770710407">
      <w:bodyDiv w:val="1"/>
      <w:marLeft w:val="0"/>
      <w:marRight w:val="0"/>
      <w:marTop w:val="0"/>
      <w:marBottom w:val="0"/>
      <w:divBdr>
        <w:top w:val="none" w:sz="0" w:space="0" w:color="auto"/>
        <w:left w:val="none" w:sz="0" w:space="0" w:color="auto"/>
        <w:bottom w:val="none" w:sz="0" w:space="0" w:color="auto"/>
        <w:right w:val="none" w:sz="0" w:space="0" w:color="auto"/>
      </w:divBdr>
      <w:divsChild>
        <w:div w:id="1716270384">
          <w:marLeft w:val="403"/>
          <w:marRight w:val="0"/>
          <w:marTop w:val="0"/>
          <w:marBottom w:val="0"/>
          <w:divBdr>
            <w:top w:val="none" w:sz="0" w:space="0" w:color="auto"/>
            <w:left w:val="none" w:sz="0" w:space="0" w:color="auto"/>
            <w:bottom w:val="none" w:sz="0" w:space="0" w:color="auto"/>
            <w:right w:val="none" w:sz="0" w:space="0" w:color="auto"/>
          </w:divBdr>
        </w:div>
        <w:div w:id="1943343363">
          <w:marLeft w:val="994"/>
          <w:marRight w:val="0"/>
          <w:marTop w:val="48"/>
          <w:marBottom w:val="0"/>
          <w:divBdr>
            <w:top w:val="none" w:sz="0" w:space="0" w:color="auto"/>
            <w:left w:val="none" w:sz="0" w:space="0" w:color="auto"/>
            <w:bottom w:val="none" w:sz="0" w:space="0" w:color="auto"/>
            <w:right w:val="none" w:sz="0" w:space="0" w:color="auto"/>
          </w:divBdr>
        </w:div>
        <w:div w:id="146098129">
          <w:marLeft w:val="994"/>
          <w:marRight w:val="0"/>
          <w:marTop w:val="48"/>
          <w:marBottom w:val="0"/>
          <w:divBdr>
            <w:top w:val="none" w:sz="0" w:space="0" w:color="auto"/>
            <w:left w:val="none" w:sz="0" w:space="0" w:color="auto"/>
            <w:bottom w:val="none" w:sz="0" w:space="0" w:color="auto"/>
            <w:right w:val="none" w:sz="0" w:space="0" w:color="auto"/>
          </w:divBdr>
        </w:div>
      </w:divsChild>
    </w:div>
    <w:div w:id="1058288268">
      <w:bodyDiv w:val="1"/>
      <w:marLeft w:val="0"/>
      <w:marRight w:val="0"/>
      <w:marTop w:val="0"/>
      <w:marBottom w:val="0"/>
      <w:divBdr>
        <w:top w:val="none" w:sz="0" w:space="0" w:color="auto"/>
        <w:left w:val="none" w:sz="0" w:space="0" w:color="auto"/>
        <w:bottom w:val="none" w:sz="0" w:space="0" w:color="auto"/>
        <w:right w:val="none" w:sz="0" w:space="0" w:color="auto"/>
      </w:divBdr>
    </w:div>
    <w:div w:id="1481575264">
      <w:bodyDiv w:val="1"/>
      <w:marLeft w:val="0"/>
      <w:marRight w:val="0"/>
      <w:marTop w:val="0"/>
      <w:marBottom w:val="0"/>
      <w:divBdr>
        <w:top w:val="none" w:sz="0" w:space="0" w:color="auto"/>
        <w:left w:val="none" w:sz="0" w:space="0" w:color="auto"/>
        <w:bottom w:val="none" w:sz="0" w:space="0" w:color="auto"/>
        <w:right w:val="none" w:sz="0" w:space="0" w:color="auto"/>
      </w:divBdr>
      <w:divsChild>
        <w:div w:id="311372995">
          <w:marLeft w:val="403"/>
          <w:marRight w:val="0"/>
          <w:marTop w:val="0"/>
          <w:marBottom w:val="0"/>
          <w:divBdr>
            <w:top w:val="none" w:sz="0" w:space="0" w:color="auto"/>
            <w:left w:val="none" w:sz="0" w:space="0" w:color="auto"/>
            <w:bottom w:val="none" w:sz="0" w:space="0" w:color="auto"/>
            <w:right w:val="none" w:sz="0" w:space="0" w:color="auto"/>
          </w:divBdr>
        </w:div>
        <w:div w:id="1301183527">
          <w:marLeft w:val="994"/>
          <w:marRight w:val="0"/>
          <w:marTop w:val="0"/>
          <w:marBottom w:val="0"/>
          <w:divBdr>
            <w:top w:val="none" w:sz="0" w:space="0" w:color="auto"/>
            <w:left w:val="none" w:sz="0" w:space="0" w:color="auto"/>
            <w:bottom w:val="none" w:sz="0" w:space="0" w:color="auto"/>
            <w:right w:val="none" w:sz="0" w:space="0" w:color="auto"/>
          </w:divBdr>
        </w:div>
        <w:div w:id="981034389">
          <w:marLeft w:val="994"/>
          <w:marRight w:val="0"/>
          <w:marTop w:val="0"/>
          <w:marBottom w:val="0"/>
          <w:divBdr>
            <w:top w:val="none" w:sz="0" w:space="0" w:color="auto"/>
            <w:left w:val="none" w:sz="0" w:space="0" w:color="auto"/>
            <w:bottom w:val="none" w:sz="0" w:space="0" w:color="auto"/>
            <w:right w:val="none" w:sz="0" w:space="0" w:color="auto"/>
          </w:divBdr>
        </w:div>
        <w:div w:id="303656818">
          <w:marLeft w:val="1714"/>
          <w:marRight w:val="0"/>
          <w:marTop w:val="0"/>
          <w:marBottom w:val="0"/>
          <w:divBdr>
            <w:top w:val="none" w:sz="0" w:space="0" w:color="auto"/>
            <w:left w:val="none" w:sz="0" w:space="0" w:color="auto"/>
            <w:bottom w:val="none" w:sz="0" w:space="0" w:color="auto"/>
            <w:right w:val="none" w:sz="0" w:space="0" w:color="auto"/>
          </w:divBdr>
        </w:div>
        <w:div w:id="930551222">
          <w:marLeft w:val="994"/>
          <w:marRight w:val="0"/>
          <w:marTop w:val="0"/>
          <w:marBottom w:val="0"/>
          <w:divBdr>
            <w:top w:val="none" w:sz="0" w:space="0" w:color="auto"/>
            <w:left w:val="none" w:sz="0" w:space="0" w:color="auto"/>
            <w:bottom w:val="none" w:sz="0" w:space="0" w:color="auto"/>
            <w:right w:val="none" w:sz="0" w:space="0" w:color="auto"/>
          </w:divBdr>
        </w:div>
        <w:div w:id="1246185501">
          <w:marLeft w:val="994"/>
          <w:marRight w:val="0"/>
          <w:marTop w:val="0"/>
          <w:marBottom w:val="0"/>
          <w:divBdr>
            <w:top w:val="none" w:sz="0" w:space="0" w:color="auto"/>
            <w:left w:val="none" w:sz="0" w:space="0" w:color="auto"/>
            <w:bottom w:val="none" w:sz="0" w:space="0" w:color="auto"/>
            <w:right w:val="none" w:sz="0" w:space="0" w:color="auto"/>
          </w:divBdr>
        </w:div>
        <w:div w:id="1768383299">
          <w:marLeft w:val="994"/>
          <w:marRight w:val="0"/>
          <w:marTop w:val="0"/>
          <w:marBottom w:val="0"/>
          <w:divBdr>
            <w:top w:val="none" w:sz="0" w:space="0" w:color="auto"/>
            <w:left w:val="none" w:sz="0" w:space="0" w:color="auto"/>
            <w:bottom w:val="none" w:sz="0" w:space="0" w:color="auto"/>
            <w:right w:val="none" w:sz="0" w:space="0" w:color="auto"/>
          </w:divBdr>
        </w:div>
        <w:div w:id="1393426554">
          <w:marLeft w:val="403"/>
          <w:marRight w:val="0"/>
          <w:marTop w:val="0"/>
          <w:marBottom w:val="0"/>
          <w:divBdr>
            <w:top w:val="none" w:sz="0" w:space="0" w:color="auto"/>
            <w:left w:val="none" w:sz="0" w:space="0" w:color="auto"/>
            <w:bottom w:val="none" w:sz="0" w:space="0" w:color="auto"/>
            <w:right w:val="none" w:sz="0" w:space="0" w:color="auto"/>
          </w:divBdr>
        </w:div>
        <w:div w:id="776019117">
          <w:marLeft w:val="403"/>
          <w:marRight w:val="0"/>
          <w:marTop w:val="0"/>
          <w:marBottom w:val="0"/>
          <w:divBdr>
            <w:top w:val="none" w:sz="0" w:space="0" w:color="auto"/>
            <w:left w:val="none" w:sz="0" w:space="0" w:color="auto"/>
            <w:bottom w:val="none" w:sz="0" w:space="0" w:color="auto"/>
            <w:right w:val="none" w:sz="0" w:space="0" w:color="auto"/>
          </w:divBdr>
        </w:div>
        <w:div w:id="674697580">
          <w:marLeft w:val="403"/>
          <w:marRight w:val="0"/>
          <w:marTop w:val="0"/>
          <w:marBottom w:val="0"/>
          <w:divBdr>
            <w:top w:val="none" w:sz="0" w:space="0" w:color="auto"/>
            <w:left w:val="none" w:sz="0" w:space="0" w:color="auto"/>
            <w:bottom w:val="none" w:sz="0" w:space="0" w:color="auto"/>
            <w:right w:val="none" w:sz="0" w:space="0" w:color="auto"/>
          </w:divBdr>
        </w:div>
      </w:divsChild>
    </w:div>
    <w:div w:id="1524126231">
      <w:bodyDiv w:val="1"/>
      <w:marLeft w:val="0"/>
      <w:marRight w:val="0"/>
      <w:marTop w:val="0"/>
      <w:marBottom w:val="0"/>
      <w:divBdr>
        <w:top w:val="none" w:sz="0" w:space="0" w:color="auto"/>
        <w:left w:val="none" w:sz="0" w:space="0" w:color="auto"/>
        <w:bottom w:val="none" w:sz="0" w:space="0" w:color="auto"/>
        <w:right w:val="none" w:sz="0" w:space="0" w:color="auto"/>
      </w:divBdr>
      <w:divsChild>
        <w:div w:id="994643402">
          <w:marLeft w:val="403"/>
          <w:marRight w:val="0"/>
          <w:marTop w:val="0"/>
          <w:marBottom w:val="0"/>
          <w:divBdr>
            <w:top w:val="none" w:sz="0" w:space="0" w:color="auto"/>
            <w:left w:val="none" w:sz="0" w:space="0" w:color="auto"/>
            <w:bottom w:val="none" w:sz="0" w:space="0" w:color="auto"/>
            <w:right w:val="none" w:sz="0" w:space="0" w:color="auto"/>
          </w:divBdr>
        </w:div>
        <w:div w:id="1086803514">
          <w:marLeft w:val="994"/>
          <w:marRight w:val="0"/>
          <w:marTop w:val="48"/>
          <w:marBottom w:val="0"/>
          <w:divBdr>
            <w:top w:val="none" w:sz="0" w:space="0" w:color="auto"/>
            <w:left w:val="none" w:sz="0" w:space="0" w:color="auto"/>
            <w:bottom w:val="none" w:sz="0" w:space="0" w:color="auto"/>
            <w:right w:val="none" w:sz="0" w:space="0" w:color="auto"/>
          </w:divBdr>
        </w:div>
        <w:div w:id="1040672072">
          <w:marLeft w:val="994"/>
          <w:marRight w:val="0"/>
          <w:marTop w:val="48"/>
          <w:marBottom w:val="0"/>
          <w:divBdr>
            <w:top w:val="none" w:sz="0" w:space="0" w:color="auto"/>
            <w:left w:val="none" w:sz="0" w:space="0" w:color="auto"/>
            <w:bottom w:val="none" w:sz="0" w:space="0" w:color="auto"/>
            <w:right w:val="none" w:sz="0" w:space="0" w:color="auto"/>
          </w:divBdr>
        </w:div>
        <w:div w:id="109474546">
          <w:marLeft w:val="403"/>
          <w:marRight w:val="0"/>
          <w:marTop w:val="0"/>
          <w:marBottom w:val="0"/>
          <w:divBdr>
            <w:top w:val="none" w:sz="0" w:space="0" w:color="auto"/>
            <w:left w:val="none" w:sz="0" w:space="0" w:color="auto"/>
            <w:bottom w:val="none" w:sz="0" w:space="0" w:color="auto"/>
            <w:right w:val="none" w:sz="0" w:space="0" w:color="auto"/>
          </w:divBdr>
        </w:div>
        <w:div w:id="1069309949">
          <w:marLeft w:val="994"/>
          <w:marRight w:val="0"/>
          <w:marTop w:val="48"/>
          <w:marBottom w:val="0"/>
          <w:divBdr>
            <w:top w:val="none" w:sz="0" w:space="0" w:color="auto"/>
            <w:left w:val="none" w:sz="0" w:space="0" w:color="auto"/>
            <w:bottom w:val="none" w:sz="0" w:space="0" w:color="auto"/>
            <w:right w:val="none" w:sz="0" w:space="0" w:color="auto"/>
          </w:divBdr>
        </w:div>
        <w:div w:id="1246186560">
          <w:marLeft w:val="994"/>
          <w:marRight w:val="0"/>
          <w:marTop w:val="48"/>
          <w:marBottom w:val="0"/>
          <w:divBdr>
            <w:top w:val="none" w:sz="0" w:space="0" w:color="auto"/>
            <w:left w:val="none" w:sz="0" w:space="0" w:color="auto"/>
            <w:bottom w:val="none" w:sz="0" w:space="0" w:color="auto"/>
            <w:right w:val="none" w:sz="0" w:space="0" w:color="auto"/>
          </w:divBdr>
        </w:div>
        <w:div w:id="1655181474">
          <w:marLeft w:val="994"/>
          <w:marRight w:val="0"/>
          <w:marTop w:val="48"/>
          <w:marBottom w:val="0"/>
          <w:divBdr>
            <w:top w:val="none" w:sz="0" w:space="0" w:color="auto"/>
            <w:left w:val="none" w:sz="0" w:space="0" w:color="auto"/>
            <w:bottom w:val="none" w:sz="0" w:space="0" w:color="auto"/>
            <w:right w:val="none" w:sz="0" w:space="0" w:color="auto"/>
          </w:divBdr>
        </w:div>
        <w:div w:id="1480685870">
          <w:marLeft w:val="403"/>
          <w:marRight w:val="0"/>
          <w:marTop w:val="0"/>
          <w:marBottom w:val="0"/>
          <w:divBdr>
            <w:top w:val="none" w:sz="0" w:space="0" w:color="auto"/>
            <w:left w:val="none" w:sz="0" w:space="0" w:color="auto"/>
            <w:bottom w:val="none" w:sz="0" w:space="0" w:color="auto"/>
            <w:right w:val="none" w:sz="0" w:space="0" w:color="auto"/>
          </w:divBdr>
        </w:div>
        <w:div w:id="1496216467">
          <w:marLeft w:val="994"/>
          <w:marRight w:val="0"/>
          <w:marTop w:val="48"/>
          <w:marBottom w:val="0"/>
          <w:divBdr>
            <w:top w:val="none" w:sz="0" w:space="0" w:color="auto"/>
            <w:left w:val="none" w:sz="0" w:space="0" w:color="auto"/>
            <w:bottom w:val="none" w:sz="0" w:space="0" w:color="auto"/>
            <w:right w:val="none" w:sz="0" w:space="0" w:color="auto"/>
          </w:divBdr>
        </w:div>
        <w:div w:id="1639528145">
          <w:marLeft w:val="994"/>
          <w:marRight w:val="0"/>
          <w:marTop w:val="48"/>
          <w:marBottom w:val="0"/>
          <w:divBdr>
            <w:top w:val="none" w:sz="0" w:space="0" w:color="auto"/>
            <w:left w:val="none" w:sz="0" w:space="0" w:color="auto"/>
            <w:bottom w:val="none" w:sz="0" w:space="0" w:color="auto"/>
            <w:right w:val="none" w:sz="0" w:space="0" w:color="auto"/>
          </w:divBdr>
        </w:div>
        <w:div w:id="2014605928">
          <w:marLeft w:val="994"/>
          <w:marRight w:val="0"/>
          <w:marTop w:val="48"/>
          <w:marBottom w:val="0"/>
          <w:divBdr>
            <w:top w:val="none" w:sz="0" w:space="0" w:color="auto"/>
            <w:left w:val="none" w:sz="0" w:space="0" w:color="auto"/>
            <w:bottom w:val="none" w:sz="0" w:space="0" w:color="auto"/>
            <w:right w:val="none" w:sz="0" w:space="0" w:color="auto"/>
          </w:divBdr>
        </w:div>
        <w:div w:id="2141922469">
          <w:marLeft w:val="1714"/>
          <w:marRight w:val="0"/>
          <w:marTop w:val="48"/>
          <w:marBottom w:val="0"/>
          <w:divBdr>
            <w:top w:val="none" w:sz="0" w:space="0" w:color="auto"/>
            <w:left w:val="none" w:sz="0" w:space="0" w:color="auto"/>
            <w:bottom w:val="none" w:sz="0" w:space="0" w:color="auto"/>
            <w:right w:val="none" w:sz="0" w:space="0" w:color="auto"/>
          </w:divBdr>
        </w:div>
      </w:divsChild>
    </w:div>
    <w:div w:id="1842819041">
      <w:bodyDiv w:val="1"/>
      <w:marLeft w:val="0"/>
      <w:marRight w:val="0"/>
      <w:marTop w:val="0"/>
      <w:marBottom w:val="0"/>
      <w:divBdr>
        <w:top w:val="none" w:sz="0" w:space="0" w:color="auto"/>
        <w:left w:val="none" w:sz="0" w:space="0" w:color="auto"/>
        <w:bottom w:val="none" w:sz="0" w:space="0" w:color="auto"/>
        <w:right w:val="none" w:sz="0" w:space="0" w:color="auto"/>
      </w:divBdr>
      <w:divsChild>
        <w:div w:id="1487361101">
          <w:marLeft w:val="403"/>
          <w:marRight w:val="0"/>
          <w:marTop w:val="48"/>
          <w:marBottom w:val="0"/>
          <w:divBdr>
            <w:top w:val="none" w:sz="0" w:space="0" w:color="auto"/>
            <w:left w:val="none" w:sz="0" w:space="0" w:color="auto"/>
            <w:bottom w:val="none" w:sz="0" w:space="0" w:color="auto"/>
            <w:right w:val="none" w:sz="0" w:space="0" w:color="auto"/>
          </w:divBdr>
        </w:div>
        <w:div w:id="397479775">
          <w:marLeft w:val="878"/>
          <w:marRight w:val="0"/>
          <w:marTop w:val="48"/>
          <w:marBottom w:val="0"/>
          <w:divBdr>
            <w:top w:val="none" w:sz="0" w:space="0" w:color="auto"/>
            <w:left w:val="none" w:sz="0" w:space="0" w:color="auto"/>
            <w:bottom w:val="none" w:sz="0" w:space="0" w:color="auto"/>
            <w:right w:val="none" w:sz="0" w:space="0" w:color="auto"/>
          </w:divBdr>
        </w:div>
        <w:div w:id="929198493">
          <w:marLeft w:val="878"/>
          <w:marRight w:val="0"/>
          <w:marTop w:val="48"/>
          <w:marBottom w:val="0"/>
          <w:divBdr>
            <w:top w:val="none" w:sz="0" w:space="0" w:color="auto"/>
            <w:left w:val="none" w:sz="0" w:space="0" w:color="auto"/>
            <w:bottom w:val="none" w:sz="0" w:space="0" w:color="auto"/>
            <w:right w:val="none" w:sz="0" w:space="0" w:color="auto"/>
          </w:divBdr>
        </w:div>
        <w:div w:id="1087579989">
          <w:marLeft w:val="878"/>
          <w:marRight w:val="0"/>
          <w:marTop w:val="48"/>
          <w:marBottom w:val="0"/>
          <w:divBdr>
            <w:top w:val="none" w:sz="0" w:space="0" w:color="auto"/>
            <w:left w:val="none" w:sz="0" w:space="0" w:color="auto"/>
            <w:bottom w:val="none" w:sz="0" w:space="0" w:color="auto"/>
            <w:right w:val="none" w:sz="0" w:space="0" w:color="auto"/>
          </w:divBdr>
        </w:div>
        <w:div w:id="239801008">
          <w:marLeft w:val="878"/>
          <w:marRight w:val="0"/>
          <w:marTop w:val="48"/>
          <w:marBottom w:val="0"/>
          <w:divBdr>
            <w:top w:val="none" w:sz="0" w:space="0" w:color="auto"/>
            <w:left w:val="none" w:sz="0" w:space="0" w:color="auto"/>
            <w:bottom w:val="none" w:sz="0" w:space="0" w:color="auto"/>
            <w:right w:val="none" w:sz="0" w:space="0" w:color="auto"/>
          </w:divBdr>
        </w:div>
        <w:div w:id="675304253">
          <w:marLeft w:val="878"/>
          <w:marRight w:val="0"/>
          <w:marTop w:val="48"/>
          <w:marBottom w:val="0"/>
          <w:divBdr>
            <w:top w:val="none" w:sz="0" w:space="0" w:color="auto"/>
            <w:left w:val="none" w:sz="0" w:space="0" w:color="auto"/>
            <w:bottom w:val="none" w:sz="0" w:space="0" w:color="auto"/>
            <w:right w:val="none" w:sz="0" w:space="0" w:color="auto"/>
          </w:divBdr>
        </w:div>
      </w:divsChild>
    </w:div>
    <w:div w:id="1977056161">
      <w:bodyDiv w:val="1"/>
      <w:marLeft w:val="0"/>
      <w:marRight w:val="0"/>
      <w:marTop w:val="0"/>
      <w:marBottom w:val="0"/>
      <w:divBdr>
        <w:top w:val="none" w:sz="0" w:space="0" w:color="auto"/>
        <w:left w:val="none" w:sz="0" w:space="0" w:color="auto"/>
        <w:bottom w:val="none" w:sz="0" w:space="0" w:color="auto"/>
        <w:right w:val="none" w:sz="0" w:space="0" w:color="auto"/>
      </w:divBdr>
      <w:divsChild>
        <w:div w:id="1779985456">
          <w:marLeft w:val="403"/>
          <w:marRight w:val="0"/>
          <w:marTop w:val="0"/>
          <w:marBottom w:val="0"/>
          <w:divBdr>
            <w:top w:val="none" w:sz="0" w:space="0" w:color="auto"/>
            <w:left w:val="none" w:sz="0" w:space="0" w:color="auto"/>
            <w:bottom w:val="none" w:sz="0" w:space="0" w:color="auto"/>
            <w:right w:val="none" w:sz="0" w:space="0" w:color="auto"/>
          </w:divBdr>
        </w:div>
        <w:div w:id="507063046">
          <w:marLeft w:val="994"/>
          <w:marRight w:val="0"/>
          <w:marTop w:val="48"/>
          <w:marBottom w:val="0"/>
          <w:divBdr>
            <w:top w:val="none" w:sz="0" w:space="0" w:color="auto"/>
            <w:left w:val="none" w:sz="0" w:space="0" w:color="auto"/>
            <w:bottom w:val="none" w:sz="0" w:space="0" w:color="auto"/>
            <w:right w:val="none" w:sz="0" w:space="0" w:color="auto"/>
          </w:divBdr>
        </w:div>
        <w:div w:id="1520661433">
          <w:marLeft w:val="1714"/>
          <w:marRight w:val="0"/>
          <w:marTop w:val="48"/>
          <w:marBottom w:val="0"/>
          <w:divBdr>
            <w:top w:val="none" w:sz="0" w:space="0" w:color="auto"/>
            <w:left w:val="none" w:sz="0" w:space="0" w:color="auto"/>
            <w:bottom w:val="none" w:sz="0" w:space="0" w:color="auto"/>
            <w:right w:val="none" w:sz="0" w:space="0" w:color="auto"/>
          </w:divBdr>
        </w:div>
        <w:div w:id="1496457813">
          <w:marLeft w:val="994"/>
          <w:marRight w:val="0"/>
          <w:marTop w:val="48"/>
          <w:marBottom w:val="0"/>
          <w:divBdr>
            <w:top w:val="none" w:sz="0" w:space="0" w:color="auto"/>
            <w:left w:val="none" w:sz="0" w:space="0" w:color="auto"/>
            <w:bottom w:val="none" w:sz="0" w:space="0" w:color="auto"/>
            <w:right w:val="none" w:sz="0" w:space="0" w:color="auto"/>
          </w:divBdr>
        </w:div>
        <w:div w:id="1155023408">
          <w:marLeft w:val="1714"/>
          <w:marRight w:val="0"/>
          <w:marTop w:val="48"/>
          <w:marBottom w:val="0"/>
          <w:divBdr>
            <w:top w:val="none" w:sz="0" w:space="0" w:color="auto"/>
            <w:left w:val="none" w:sz="0" w:space="0" w:color="auto"/>
            <w:bottom w:val="none" w:sz="0" w:space="0" w:color="auto"/>
            <w:right w:val="none" w:sz="0" w:space="0" w:color="auto"/>
          </w:divBdr>
        </w:div>
        <w:div w:id="1485388317">
          <w:marLeft w:val="2434"/>
          <w:marRight w:val="0"/>
          <w:marTop w:val="48"/>
          <w:marBottom w:val="0"/>
          <w:divBdr>
            <w:top w:val="none" w:sz="0" w:space="0" w:color="auto"/>
            <w:left w:val="none" w:sz="0" w:space="0" w:color="auto"/>
            <w:bottom w:val="none" w:sz="0" w:space="0" w:color="auto"/>
            <w:right w:val="none" w:sz="0" w:space="0" w:color="auto"/>
          </w:divBdr>
        </w:div>
        <w:div w:id="57098092">
          <w:marLeft w:val="2434"/>
          <w:marRight w:val="0"/>
          <w:marTop w:val="48"/>
          <w:marBottom w:val="0"/>
          <w:divBdr>
            <w:top w:val="none" w:sz="0" w:space="0" w:color="auto"/>
            <w:left w:val="none" w:sz="0" w:space="0" w:color="auto"/>
            <w:bottom w:val="none" w:sz="0" w:space="0" w:color="auto"/>
            <w:right w:val="none" w:sz="0" w:space="0" w:color="auto"/>
          </w:divBdr>
        </w:div>
        <w:div w:id="1614634792">
          <w:marLeft w:val="1714"/>
          <w:marRight w:val="0"/>
          <w:marTop w:val="48"/>
          <w:marBottom w:val="0"/>
          <w:divBdr>
            <w:top w:val="none" w:sz="0" w:space="0" w:color="auto"/>
            <w:left w:val="none" w:sz="0" w:space="0" w:color="auto"/>
            <w:bottom w:val="none" w:sz="0" w:space="0" w:color="auto"/>
            <w:right w:val="none" w:sz="0" w:space="0" w:color="auto"/>
          </w:divBdr>
        </w:div>
        <w:div w:id="223639083">
          <w:marLeft w:val="2434"/>
          <w:marRight w:val="0"/>
          <w:marTop w:val="48"/>
          <w:marBottom w:val="0"/>
          <w:divBdr>
            <w:top w:val="none" w:sz="0" w:space="0" w:color="auto"/>
            <w:left w:val="none" w:sz="0" w:space="0" w:color="auto"/>
            <w:bottom w:val="none" w:sz="0" w:space="0" w:color="auto"/>
            <w:right w:val="none" w:sz="0" w:space="0" w:color="auto"/>
          </w:divBdr>
        </w:div>
        <w:div w:id="301158679">
          <w:marLeft w:val="1714"/>
          <w:marRight w:val="0"/>
          <w:marTop w:val="48"/>
          <w:marBottom w:val="0"/>
          <w:divBdr>
            <w:top w:val="none" w:sz="0" w:space="0" w:color="auto"/>
            <w:left w:val="none" w:sz="0" w:space="0" w:color="auto"/>
            <w:bottom w:val="none" w:sz="0" w:space="0" w:color="auto"/>
            <w:right w:val="none" w:sz="0" w:space="0" w:color="auto"/>
          </w:divBdr>
        </w:div>
        <w:div w:id="966014272">
          <w:marLeft w:val="403"/>
          <w:marRight w:val="0"/>
          <w:marTop w:val="0"/>
          <w:marBottom w:val="0"/>
          <w:divBdr>
            <w:top w:val="none" w:sz="0" w:space="0" w:color="auto"/>
            <w:left w:val="none" w:sz="0" w:space="0" w:color="auto"/>
            <w:bottom w:val="none" w:sz="0" w:space="0" w:color="auto"/>
            <w:right w:val="none" w:sz="0" w:space="0" w:color="auto"/>
          </w:divBdr>
        </w:div>
        <w:div w:id="740953083">
          <w:marLeft w:val="994"/>
          <w:marRight w:val="0"/>
          <w:marTop w:val="48"/>
          <w:marBottom w:val="0"/>
          <w:divBdr>
            <w:top w:val="none" w:sz="0" w:space="0" w:color="auto"/>
            <w:left w:val="none" w:sz="0" w:space="0" w:color="auto"/>
            <w:bottom w:val="none" w:sz="0" w:space="0" w:color="auto"/>
            <w:right w:val="none" w:sz="0" w:space="0" w:color="auto"/>
          </w:divBdr>
        </w:div>
        <w:div w:id="327247756">
          <w:marLeft w:val="1714"/>
          <w:marRight w:val="0"/>
          <w:marTop w:val="48"/>
          <w:marBottom w:val="0"/>
          <w:divBdr>
            <w:top w:val="none" w:sz="0" w:space="0" w:color="auto"/>
            <w:left w:val="none" w:sz="0" w:space="0" w:color="auto"/>
            <w:bottom w:val="none" w:sz="0" w:space="0" w:color="auto"/>
            <w:right w:val="none" w:sz="0" w:space="0" w:color="auto"/>
          </w:divBdr>
        </w:div>
        <w:div w:id="126092003">
          <w:marLeft w:val="994"/>
          <w:marRight w:val="0"/>
          <w:marTop w:val="48"/>
          <w:marBottom w:val="0"/>
          <w:divBdr>
            <w:top w:val="none" w:sz="0" w:space="0" w:color="auto"/>
            <w:left w:val="none" w:sz="0" w:space="0" w:color="auto"/>
            <w:bottom w:val="none" w:sz="0" w:space="0" w:color="auto"/>
            <w:right w:val="none" w:sz="0" w:space="0" w:color="auto"/>
          </w:divBdr>
        </w:div>
        <w:div w:id="1394236757">
          <w:marLeft w:val="994"/>
          <w:marRight w:val="0"/>
          <w:marTop w:val="48"/>
          <w:marBottom w:val="0"/>
          <w:divBdr>
            <w:top w:val="none" w:sz="0" w:space="0" w:color="auto"/>
            <w:left w:val="none" w:sz="0" w:space="0" w:color="auto"/>
            <w:bottom w:val="none" w:sz="0" w:space="0" w:color="auto"/>
            <w:right w:val="none" w:sz="0" w:space="0" w:color="auto"/>
          </w:divBdr>
        </w:div>
        <w:div w:id="958799839">
          <w:marLeft w:val="1714"/>
          <w:marRight w:val="0"/>
          <w:marTop w:val="48"/>
          <w:marBottom w:val="0"/>
          <w:divBdr>
            <w:top w:val="none" w:sz="0" w:space="0" w:color="auto"/>
            <w:left w:val="none" w:sz="0" w:space="0" w:color="auto"/>
            <w:bottom w:val="none" w:sz="0" w:space="0" w:color="auto"/>
            <w:right w:val="none" w:sz="0" w:space="0" w:color="auto"/>
          </w:divBdr>
        </w:div>
        <w:div w:id="308902441">
          <w:marLeft w:val="1714"/>
          <w:marRight w:val="0"/>
          <w:marTop w:val="48"/>
          <w:marBottom w:val="0"/>
          <w:divBdr>
            <w:top w:val="none" w:sz="0" w:space="0" w:color="auto"/>
            <w:left w:val="none" w:sz="0" w:space="0" w:color="auto"/>
            <w:bottom w:val="none" w:sz="0" w:space="0" w:color="auto"/>
            <w:right w:val="none" w:sz="0" w:space="0" w:color="auto"/>
          </w:divBdr>
        </w:div>
        <w:div w:id="801265022">
          <w:marLeft w:val="1714"/>
          <w:marRight w:val="0"/>
          <w:marTop w:val="48"/>
          <w:marBottom w:val="0"/>
          <w:divBdr>
            <w:top w:val="none" w:sz="0" w:space="0" w:color="auto"/>
            <w:left w:val="none" w:sz="0" w:space="0" w:color="auto"/>
            <w:bottom w:val="none" w:sz="0" w:space="0" w:color="auto"/>
            <w:right w:val="none" w:sz="0" w:space="0" w:color="auto"/>
          </w:divBdr>
        </w:div>
        <w:div w:id="61686061">
          <w:marLeft w:val="1714"/>
          <w:marRight w:val="0"/>
          <w:marTop w:val="48"/>
          <w:marBottom w:val="0"/>
          <w:divBdr>
            <w:top w:val="none" w:sz="0" w:space="0" w:color="auto"/>
            <w:left w:val="none" w:sz="0" w:space="0" w:color="auto"/>
            <w:bottom w:val="none" w:sz="0" w:space="0" w:color="auto"/>
            <w:right w:val="none" w:sz="0" w:space="0" w:color="auto"/>
          </w:divBdr>
        </w:div>
      </w:divsChild>
    </w:div>
    <w:div w:id="2026202185">
      <w:bodyDiv w:val="1"/>
      <w:marLeft w:val="0"/>
      <w:marRight w:val="0"/>
      <w:marTop w:val="0"/>
      <w:marBottom w:val="0"/>
      <w:divBdr>
        <w:top w:val="none" w:sz="0" w:space="0" w:color="auto"/>
        <w:left w:val="none" w:sz="0" w:space="0" w:color="auto"/>
        <w:bottom w:val="none" w:sz="0" w:space="0" w:color="auto"/>
        <w:right w:val="none" w:sz="0" w:space="0" w:color="auto"/>
      </w:divBdr>
      <w:divsChild>
        <w:div w:id="1886792484">
          <w:marLeft w:val="994"/>
          <w:marRight w:val="0"/>
          <w:marTop w:val="48"/>
          <w:marBottom w:val="0"/>
          <w:divBdr>
            <w:top w:val="none" w:sz="0" w:space="0" w:color="auto"/>
            <w:left w:val="none" w:sz="0" w:space="0" w:color="auto"/>
            <w:bottom w:val="none" w:sz="0" w:space="0" w:color="auto"/>
            <w:right w:val="none" w:sz="0" w:space="0" w:color="auto"/>
          </w:divBdr>
        </w:div>
        <w:div w:id="483548997">
          <w:marLeft w:val="1714"/>
          <w:marRight w:val="0"/>
          <w:marTop w:val="48"/>
          <w:marBottom w:val="0"/>
          <w:divBdr>
            <w:top w:val="none" w:sz="0" w:space="0" w:color="auto"/>
            <w:left w:val="none" w:sz="0" w:space="0" w:color="auto"/>
            <w:bottom w:val="none" w:sz="0" w:space="0" w:color="auto"/>
            <w:right w:val="none" w:sz="0" w:space="0" w:color="auto"/>
          </w:divBdr>
        </w:div>
        <w:div w:id="1929383727">
          <w:marLeft w:val="1714"/>
          <w:marRight w:val="0"/>
          <w:marTop w:val="48"/>
          <w:marBottom w:val="0"/>
          <w:divBdr>
            <w:top w:val="none" w:sz="0" w:space="0" w:color="auto"/>
            <w:left w:val="none" w:sz="0" w:space="0" w:color="auto"/>
            <w:bottom w:val="none" w:sz="0" w:space="0" w:color="auto"/>
            <w:right w:val="none" w:sz="0" w:space="0" w:color="auto"/>
          </w:divBdr>
        </w:div>
        <w:div w:id="974528966">
          <w:marLeft w:val="1714"/>
          <w:marRight w:val="0"/>
          <w:marTop w:val="48"/>
          <w:marBottom w:val="0"/>
          <w:divBdr>
            <w:top w:val="none" w:sz="0" w:space="0" w:color="auto"/>
            <w:left w:val="none" w:sz="0" w:space="0" w:color="auto"/>
            <w:bottom w:val="none" w:sz="0" w:space="0" w:color="auto"/>
            <w:right w:val="none" w:sz="0" w:space="0" w:color="auto"/>
          </w:divBdr>
        </w:div>
        <w:div w:id="1327125433">
          <w:marLeft w:val="1714"/>
          <w:marRight w:val="0"/>
          <w:marTop w:val="4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2FHT6SDPEKRM-4-34991</_dlc_DocId>
    <_dlc_DocIdUrl xmlns="2f0fb0e4-6f95-4f64-8efb-58e3d90405ce">
      <Url>https://projects.qualcomm.com/sites/SkyBer/_layouts/15/DocIdRedir.aspx?ID=2FHT6SDPEKRM-4-34991</Url>
      <Description>2FHT6SDPEKRM-4-34991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7C26A-7927-4DDE-A6E6-0923099724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B558CD-FA69-487F-B361-656EA29D8758}">
  <ds:schemaRefs>
    <ds:schemaRef ds:uri="office.server.policy"/>
  </ds:schemaRefs>
</ds:datastoreItem>
</file>

<file path=customXml/itemProps3.xml><?xml version="1.0" encoding="utf-8"?>
<ds:datastoreItem xmlns:ds="http://schemas.openxmlformats.org/officeDocument/2006/customXml" ds:itemID="{731DE0AA-4CDE-4883-8411-E746FF4420F1}">
  <ds:schemaRefs>
    <ds:schemaRef ds:uri="http://schemas.microsoft.com/sharepoint/events"/>
  </ds:schemaRefs>
</ds:datastoreItem>
</file>

<file path=customXml/itemProps4.xml><?xml version="1.0" encoding="utf-8"?>
<ds:datastoreItem xmlns:ds="http://schemas.openxmlformats.org/officeDocument/2006/customXml" ds:itemID="{BFB6C5F3-5885-41FA-A4A3-3EA530CBDC46}">
  <ds:schemaRefs>
    <ds:schemaRef ds:uri="http://schemas.microsoft.com/sharepoint/v3/contenttype/forms"/>
  </ds:schemaRefs>
</ds:datastoreItem>
</file>

<file path=customXml/itemProps5.xml><?xml version="1.0" encoding="utf-8"?>
<ds:datastoreItem xmlns:ds="http://schemas.openxmlformats.org/officeDocument/2006/customXml" ds:itemID="{9B4AFC1F-8604-495C-9EE3-45AAE9FDDA0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6.xml><?xml version="1.0" encoding="utf-8"?>
<ds:datastoreItem xmlns:ds="http://schemas.openxmlformats.org/officeDocument/2006/customXml" ds:itemID="{25F130F9-CD27-427C-8EBD-B30703D1C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926</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Abedini, Navid</dc:creator>
  <cp:keywords/>
  <dc:description/>
  <cp:lastModifiedBy>Gaal, Peter</cp:lastModifiedBy>
  <cp:revision>9</cp:revision>
  <dcterms:created xsi:type="dcterms:W3CDTF">2016-11-05T14:53:00Z</dcterms:created>
  <dcterms:modified xsi:type="dcterms:W3CDTF">2016-11-06T03:31:00Z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2c6be773-4330-48aa-9d0c-d1682f755733</vt:lpwstr>
  </property>
</Properties>
</file>